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sz w:val="36"/>
          <w:szCs w:val="36"/>
          <w:lang w:val="ru-RU"/>
        </w:rPr>
        <w:t>ДНЕВНИК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индивидуального сопровождения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426" w:lineRule="auto"/>
        <w:ind w:left="1440" w:hanging="1484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воспитанника (ученика) _______________ класса школы №______________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________________________</w:t>
      </w:r>
      <w:proofErr w:type="gramStart"/>
      <w:r w:rsidRPr="00863533">
        <w:rPr>
          <w:rFonts w:ascii="Times New Roman" w:hAnsi="Times New Roman" w:cs="Times New Roman"/>
          <w:b/>
          <w:bCs/>
          <w:sz w:val="28"/>
          <w:szCs w:val="28"/>
          <w:lang w:val="ru-RU"/>
        </w:rPr>
        <w:t>_(</w:t>
      </w:r>
      <w:proofErr w:type="gramEnd"/>
      <w:r w:rsidRPr="00863533">
        <w:rPr>
          <w:rFonts w:ascii="Times New Roman" w:hAnsi="Times New Roman" w:cs="Times New Roman"/>
          <w:b/>
          <w:bCs/>
          <w:sz w:val="28"/>
          <w:szCs w:val="28"/>
          <w:lang w:val="ru-RU"/>
        </w:rPr>
        <w:t>р-н, г.)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sz w:val="32"/>
          <w:szCs w:val="32"/>
          <w:lang w:val="ru-RU"/>
        </w:rPr>
        <w:t>______________________________________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9" w:lineRule="auto"/>
        <w:ind w:left="240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sz w:val="20"/>
          <w:szCs w:val="20"/>
          <w:lang w:val="ru-RU"/>
        </w:rPr>
        <w:t>(фамилия, имя)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8267C" w:rsidRPr="00863533">
          <w:pgSz w:w="12240" w:h="15842"/>
          <w:pgMar w:top="1440" w:right="2740" w:bottom="1440" w:left="3360" w:header="720" w:footer="720" w:gutter="0"/>
          <w:cols w:space="720" w:equalWidth="0">
            <w:col w:w="6140"/>
          </w:cols>
          <w:noEndnote/>
        </w:sectPr>
      </w:pPr>
    </w:p>
    <w:tbl>
      <w:tblPr>
        <w:tblStyle w:val="a3"/>
        <w:tblpPr w:leftFromText="180" w:rightFromText="180" w:horzAnchor="margin" w:tblpY="-750"/>
        <w:tblW w:w="10348" w:type="dxa"/>
        <w:tblLook w:val="04A0" w:firstRow="1" w:lastRow="0" w:firstColumn="1" w:lastColumn="0" w:noHBand="0" w:noVBand="1"/>
      </w:tblPr>
      <w:tblGrid>
        <w:gridCol w:w="6623"/>
        <w:gridCol w:w="1902"/>
        <w:gridCol w:w="963"/>
        <w:gridCol w:w="860"/>
      </w:tblGrid>
      <w:tr w:rsidR="0038267C" w:rsidRPr="0038267C" w:rsidTr="006070DE">
        <w:tc>
          <w:tcPr>
            <w:tcW w:w="6623" w:type="dxa"/>
            <w:tcBorders>
              <w:bottom w:val="single" w:sz="4" w:space="0" w:color="auto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ru-RU"/>
              </w:rPr>
              <w:lastRenderedPageBreak/>
              <w:t>Иванов Иван</w:t>
            </w: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963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Начало года</w:t>
            </w:r>
          </w:p>
        </w:tc>
        <w:tc>
          <w:tcPr>
            <w:tcW w:w="860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Конец года</w:t>
            </w:r>
          </w:p>
        </w:tc>
      </w:tr>
      <w:tr w:rsidR="0038267C" w:rsidRPr="0038267C" w:rsidTr="006070DE">
        <w:tc>
          <w:tcPr>
            <w:tcW w:w="6623" w:type="dxa"/>
            <w:tcBorders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  <w:lang w:val="ru-RU"/>
              </w:rPr>
              <w:t>Ведущая мотивация</w:t>
            </w:r>
            <w:r w:rsidRPr="0038267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lang w:val="ru-RU"/>
              </w:rPr>
              <w:t>:</w:t>
            </w:r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  <w:lang w:val="ru-RU"/>
              </w:rPr>
              <w:t xml:space="preserve"> </w:t>
            </w:r>
          </w:p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интерес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color w:val="92D050"/>
                <w:szCs w:val="20"/>
              </w:rPr>
            </w:pPr>
          </w:p>
        </w:tc>
        <w:tc>
          <w:tcPr>
            <w:tcW w:w="860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color w:val="92D050"/>
                <w:szCs w:val="20"/>
                <w:highlight w:val="green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потребность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похвала</w:t>
            </w:r>
          </w:p>
        </w:tc>
        <w:tc>
          <w:tcPr>
            <w:tcW w:w="963" w:type="dxa"/>
            <w:shd w:val="clear" w:color="auto" w:fill="9BBB59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9BBB59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поощрение</w:t>
            </w:r>
          </w:p>
        </w:tc>
        <w:tc>
          <w:tcPr>
            <w:tcW w:w="963" w:type="dxa"/>
            <w:shd w:val="clear" w:color="auto" w:fill="9BBB59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9BBB59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наказание</w:t>
            </w:r>
          </w:p>
        </w:tc>
        <w:tc>
          <w:tcPr>
            <w:tcW w:w="963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  <w:lang w:val="ru-RU"/>
              </w:rPr>
              <w:t>Ведущая деятельность</w:t>
            </w: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:</w:t>
            </w:r>
          </w:p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6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8267C" w:rsidRPr="0038267C" w:rsidRDefault="0038267C" w:rsidP="003826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  <w:lang w:val="ru-RU"/>
              </w:rPr>
              <w:t xml:space="preserve"> </w:t>
            </w:r>
            <w:r w:rsidRPr="0038267C">
              <w:rPr>
                <w:rFonts w:ascii="Times New Roman" w:eastAsia="Times New Roman" w:hAnsi="Times New Roman" w:cs="Times New Roman"/>
                <w:bCs/>
                <w:szCs w:val="20"/>
                <w:lang w:val="ru-RU"/>
              </w:rPr>
              <w:t>игра</w:t>
            </w:r>
          </w:p>
        </w:tc>
        <w:tc>
          <w:tcPr>
            <w:tcW w:w="963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Cs w:val="20"/>
                <w:u w:val="single"/>
                <w:lang w:val="ru-RU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учение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single" w:sz="4" w:space="0" w:color="auto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труд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  <w:lang w:val="ru-RU"/>
              </w:rPr>
              <w:t>Моторика</w:t>
            </w:r>
          </w:p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координация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мелкая моторика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ровесники</w:t>
            </w:r>
          </w:p>
        </w:tc>
        <w:tc>
          <w:tcPr>
            <w:tcW w:w="963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родители</w:t>
            </w:r>
          </w:p>
        </w:tc>
        <w:tc>
          <w:tcPr>
            <w:tcW w:w="963" w:type="dxa"/>
            <w:shd w:val="clear" w:color="auto" w:fill="9BBB59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9BBB59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  <w:lang w:val="ru-RU"/>
              </w:rPr>
              <w:t>Предпочтения (</w:t>
            </w: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коммуникативная потребность):</w:t>
            </w:r>
          </w:p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учителя</w:t>
            </w:r>
          </w:p>
        </w:tc>
        <w:tc>
          <w:tcPr>
            <w:tcW w:w="963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посторонние</w:t>
            </w:r>
          </w:p>
        </w:tc>
        <w:tc>
          <w:tcPr>
            <w:tcW w:w="963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Роль</w:t>
            </w:r>
            <w:proofErr w:type="spellEnd"/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учащегося</w:t>
            </w:r>
            <w:proofErr w:type="spellEnd"/>
          </w:p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знание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освоение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принятие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Навыки</w:t>
            </w:r>
            <w:proofErr w:type="spellEnd"/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самообслуживания</w:t>
            </w:r>
            <w:proofErr w:type="spellEnd"/>
          </w:p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питание</w:t>
            </w:r>
          </w:p>
        </w:tc>
        <w:tc>
          <w:tcPr>
            <w:tcW w:w="963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обувание</w:t>
            </w:r>
          </w:p>
        </w:tc>
        <w:tc>
          <w:tcPr>
            <w:tcW w:w="963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одевание</w:t>
            </w:r>
          </w:p>
        </w:tc>
        <w:tc>
          <w:tcPr>
            <w:tcW w:w="963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прочие</w:t>
            </w:r>
          </w:p>
        </w:tc>
        <w:tc>
          <w:tcPr>
            <w:tcW w:w="963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  <w:lang w:val="ru-RU"/>
              </w:rPr>
              <w:t>Общение со взрослыми</w:t>
            </w:r>
          </w:p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умения</w:t>
            </w:r>
          </w:p>
        </w:tc>
        <w:tc>
          <w:tcPr>
            <w:tcW w:w="963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адекватность</w:t>
            </w:r>
          </w:p>
        </w:tc>
        <w:tc>
          <w:tcPr>
            <w:tcW w:w="963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активность</w:t>
            </w:r>
          </w:p>
        </w:tc>
        <w:tc>
          <w:tcPr>
            <w:tcW w:w="963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Общение со сверстниками</w:t>
            </w: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умения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активность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9BBB59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top w:val="nil"/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адекватность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4F81B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38267C">
        <w:tc>
          <w:tcPr>
            <w:tcW w:w="6623" w:type="dxa"/>
            <w:tcBorders>
              <w:bottom w:val="nil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Прогноз</w:t>
            </w:r>
            <w:proofErr w:type="spellEnd"/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38267C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развития</w:t>
            </w:r>
            <w:proofErr w:type="spellEnd"/>
          </w:p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объем ЗАР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8267C" w:rsidRPr="0038267C" w:rsidTr="006070DE">
        <w:tc>
          <w:tcPr>
            <w:tcW w:w="6623" w:type="dxa"/>
            <w:tcBorders>
              <w:top w:val="nil"/>
              <w:bottom w:val="single" w:sz="4" w:space="0" w:color="auto"/>
            </w:tcBorders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2" w:type="dxa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267C">
              <w:rPr>
                <w:rFonts w:ascii="Times New Roman" w:eastAsia="Times New Roman" w:hAnsi="Times New Roman" w:cs="Times New Roman"/>
                <w:szCs w:val="20"/>
                <w:lang w:val="ru-RU"/>
              </w:rPr>
              <w:t>темп развития</w:t>
            </w:r>
          </w:p>
        </w:tc>
        <w:tc>
          <w:tcPr>
            <w:tcW w:w="963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shd w:val="clear" w:color="auto" w:fill="C0504D"/>
          </w:tcPr>
          <w:p w:rsidR="0038267C" w:rsidRPr="0038267C" w:rsidRDefault="0038267C" w:rsidP="0038267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38267C" w:rsidRPr="0038267C" w:rsidRDefault="0038267C" w:rsidP="0038267C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67C" w:rsidRPr="0038267C" w:rsidRDefault="0038267C" w:rsidP="0038267C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67C" w:rsidRPr="0038267C" w:rsidRDefault="0038267C" w:rsidP="0038267C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67C" w:rsidRPr="0038267C" w:rsidRDefault="0038267C" w:rsidP="0038267C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67C" w:rsidRPr="0038267C" w:rsidRDefault="0038267C" w:rsidP="0038267C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Рекомендации к заполнению</w:t>
      </w:r>
      <w:bookmarkStart w:id="0" w:name="_GoBack"/>
      <w:bookmarkEnd w:id="0"/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Ведущая мотивация: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интерес, потребность, поощрение, похвала, наказание. Оценка дается в зависимости от эффективности воздействия побуждения к деятельности: положительная (З.), удовлетворительная (С.), отрицательная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(КР.).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8267C" w:rsidRPr="00863533">
          <w:pgSz w:w="12242" w:h="15842"/>
          <w:pgMar w:top="1440" w:right="1180" w:bottom="1440" w:left="1700" w:header="720" w:footer="720" w:gutter="0"/>
          <w:cols w:space="720" w:equalWidth="0">
            <w:col w:w="9360"/>
          </w:cols>
          <w:noEndnote/>
        </w:sect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Ведущая деятельность: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игра, учение, труд. Оценка дается по уровню предпочтения – высокий (З.), средний (С.), низкий (КР.), в сравнении с возрастной нормой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23"/>
      <w:bookmarkEnd w:id="1"/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Моторика.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i/>
          <w:iCs/>
          <w:sz w:val="20"/>
          <w:szCs w:val="20"/>
          <w:u w:val="single"/>
          <w:lang w:val="ru-RU"/>
        </w:rPr>
        <w:t>координация,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т.е. соотнесение движений различных частей тела или способность к точному управлению телом – хорошая (З.), нормальная (</w:t>
      </w:r>
      <w:proofErr w:type="gramStart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С..</w:t>
      </w:r>
      <w:proofErr w:type="gramEnd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), плохая (КР,); </w:t>
      </w:r>
      <w:r w:rsidRPr="00863533">
        <w:rPr>
          <w:rFonts w:ascii="Times New Roman" w:hAnsi="Times New Roman" w:cs="Times New Roman"/>
          <w:i/>
          <w:iCs/>
          <w:sz w:val="20"/>
          <w:szCs w:val="20"/>
          <w:u w:val="single"/>
          <w:lang w:val="ru-RU"/>
        </w:rPr>
        <w:t>мелкая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или тонкая моторика, т.е. точное управление мелкими движениями, прежде всего пальцев – развита хорошо (КР.), удовлетворительно (С.), плохо (КР.).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0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Предпочтения: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предпочтение указывает на содержание выбора ребенка.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Оценка дается исходя из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устойчивости выбора – высокая (З.), средняя (С.), низкая (КР.).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0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Адаптивные навыки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,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т.е.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приспособленность к жизни в </w:t>
      </w:r>
      <w:proofErr w:type="gramStart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социуме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.Определяется</w:t>
      </w:r>
      <w:proofErr w:type="gramEnd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знанием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,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владением и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принятием системы социальных отношений, позволяющим эффективно реализовывать личностные </w:t>
      </w:r>
      <w:proofErr w:type="spellStart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по-требности</w:t>
      </w:r>
      <w:proofErr w:type="spellEnd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. Сюда относятся: навыки самообслуживания, адекватность принятым нормам и правилам </w:t>
      </w:r>
      <w:proofErr w:type="spellStart"/>
      <w:proofErr w:type="gramStart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по-ведения</w:t>
      </w:r>
      <w:proofErr w:type="spellEnd"/>
      <w:proofErr w:type="gramEnd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, эмоциональная адекватность и т.д. и т.п. Оценка дается относительно возрастной нормы: </w:t>
      </w:r>
      <w:proofErr w:type="spellStart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хоро-шая</w:t>
      </w:r>
      <w:proofErr w:type="spellEnd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(З.), достаточная (С.), недостаточная (КР.).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6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Роль учащегося: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выражается комплексом предписаний к позиции,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деятельности,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поведению учащегося в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ситуации школьного обучения </w:t>
      </w:r>
      <w:r w:rsidRPr="00863533">
        <w:rPr>
          <w:rFonts w:ascii="Times New Roman" w:hAnsi="Times New Roman" w:cs="Times New Roman"/>
          <w:i/>
          <w:iCs/>
          <w:sz w:val="20"/>
          <w:szCs w:val="20"/>
          <w:u w:val="single"/>
          <w:lang w:val="ru-RU"/>
        </w:rPr>
        <w:t>знание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- оценка дается в зависимости от того, насколько ученик знает и понимает предъявляемые к нему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требования: полное (З.), достаточное (С.), недостаточное КР.)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0" w:firstLine="5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i/>
          <w:iCs/>
          <w:sz w:val="20"/>
          <w:szCs w:val="20"/>
          <w:u w:val="single"/>
          <w:lang w:val="ru-RU"/>
        </w:rPr>
        <w:t>освоение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- в зависимости от того, насколько ребенок владеет навыками, составляющими "роль", оценка: хорошее (З.), достаточное (С.), недостаточное (КР.).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i/>
          <w:iCs/>
          <w:sz w:val="20"/>
          <w:szCs w:val="20"/>
          <w:u w:val="single"/>
          <w:lang w:val="ru-RU"/>
        </w:rPr>
        <w:t>принятие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- оценка дается в зависимости от того, насколько ученик реально следует "роли" в ситуациях школьных взаимодействий. Например, учащийся может "соскальзывать" в роль друга", "ребенка", "борца за справедливость" и т.д. Принятие может быть полным (З.), неполным (С.), отсутствовать (КР.)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6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Навыки самообслуживания: </w:t>
      </w:r>
      <w:r w:rsidRPr="00863533">
        <w:rPr>
          <w:rFonts w:ascii="Times New Roman" w:hAnsi="Times New Roman" w:cs="Times New Roman"/>
          <w:sz w:val="20"/>
          <w:szCs w:val="20"/>
          <w:lang w:val="ru-RU"/>
        </w:rPr>
        <w:t>оценка дается относительно возрастной нормы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sz w:val="20"/>
          <w:szCs w:val="20"/>
          <w:lang w:val="ru-RU"/>
        </w:rPr>
        <w:t>хорошие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sz w:val="20"/>
          <w:szCs w:val="20"/>
          <w:lang w:val="ru-RU"/>
        </w:rPr>
        <w:t>(З.),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proofErr w:type="gramStart"/>
      <w:r w:rsidRPr="00863533">
        <w:rPr>
          <w:rFonts w:ascii="Times New Roman" w:hAnsi="Times New Roman" w:cs="Times New Roman"/>
          <w:sz w:val="20"/>
          <w:szCs w:val="20"/>
          <w:lang w:val="ru-RU"/>
        </w:rPr>
        <w:t>удовлетвори-тельные</w:t>
      </w:r>
      <w:proofErr w:type="gramEnd"/>
      <w:r w:rsidRPr="00863533">
        <w:rPr>
          <w:rFonts w:ascii="Times New Roman" w:hAnsi="Times New Roman" w:cs="Times New Roman"/>
          <w:sz w:val="20"/>
          <w:szCs w:val="20"/>
          <w:lang w:val="ru-RU"/>
        </w:rPr>
        <w:t xml:space="preserve"> (С.), плохие (КР.).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в строке «прочие» записываются инд. особенности, требующие дополнительной работы с ребенком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Общение: </w:t>
      </w:r>
      <w:r w:rsidRPr="00863533">
        <w:rPr>
          <w:rFonts w:ascii="Times New Roman" w:hAnsi="Times New Roman" w:cs="Times New Roman"/>
          <w:i/>
          <w:iCs/>
          <w:sz w:val="20"/>
          <w:szCs w:val="20"/>
          <w:u w:val="single"/>
          <w:lang w:val="ru-RU"/>
        </w:rPr>
        <w:t>"умения</w:t>
      </w:r>
      <w:proofErr w:type="gramStart"/>
      <w:r w:rsidRPr="00863533">
        <w:rPr>
          <w:rFonts w:ascii="Times New Roman" w:hAnsi="Times New Roman" w:cs="Times New Roman"/>
          <w:i/>
          <w:iCs/>
          <w:sz w:val="20"/>
          <w:szCs w:val="20"/>
          <w:u w:val="single"/>
          <w:lang w:val="ru-RU"/>
        </w:rPr>
        <w:t>"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,</w:t>
      </w:r>
      <w:proofErr w:type="gramEnd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т.е.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комплекс позитивных навыков общения,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оценка дается относительно возрастной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нормы: развитые (З.), достаточные(С.), недостаточные (КР.)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00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i/>
          <w:iCs/>
          <w:sz w:val="20"/>
          <w:szCs w:val="20"/>
          <w:u w:val="single"/>
          <w:lang w:val="ru-RU"/>
        </w:rPr>
        <w:t>адекватность</w:t>
      </w:r>
      <w:proofErr w:type="gramStart"/>
      <w:r w:rsidRPr="00863533">
        <w:rPr>
          <w:rFonts w:ascii="Times New Roman" w:hAnsi="Times New Roman" w:cs="Times New Roman"/>
          <w:i/>
          <w:iCs/>
          <w:sz w:val="20"/>
          <w:szCs w:val="20"/>
          <w:u w:val="single"/>
          <w:lang w:val="ru-RU"/>
        </w:rPr>
        <w:t>"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,</w:t>
      </w:r>
      <w:proofErr w:type="gramEnd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т.е. соответствие принятым социальным нормам , смыслу ситуации и целям общения; </w:t>
      </w:r>
      <w:proofErr w:type="spellStart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са</w:t>
      </w:r>
      <w:proofErr w:type="spellEnd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-мой ситуации общения в целом (положительная, безразличная, негативная); стремление достигать в об-</w:t>
      </w:r>
      <w:proofErr w:type="spellStart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щении</w:t>
      </w:r>
      <w:proofErr w:type="spellEnd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позиции "сверху" , превосходства, лидерства. Оценка может быть: полная (З.), неполная (С.), </w:t>
      </w:r>
      <w:proofErr w:type="gramStart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от-</w:t>
      </w:r>
      <w:proofErr w:type="spellStart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сутствие</w:t>
      </w:r>
      <w:proofErr w:type="spellEnd"/>
      <w:proofErr w:type="gramEnd"/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(КР.).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57F950B" wp14:editId="2A859992">
                <wp:simplePos x="0" y="0"/>
                <wp:positionH relativeFrom="column">
                  <wp:posOffset>4198620</wp:posOffset>
                </wp:positionH>
                <wp:positionV relativeFrom="paragraph">
                  <wp:posOffset>-300990</wp:posOffset>
                </wp:positionV>
                <wp:extent cx="31750" cy="0"/>
                <wp:effectExtent l="0" t="0" r="0" b="0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30C0B" id="Line 5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6pt,-23.7pt" to="333.1pt,-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w3EQ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" o:allowincell="f" strokeweight=".48pt"/>
            </w:pict>
          </mc:Fallback>
        </mc:AlternateConten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i/>
          <w:iCs/>
          <w:sz w:val="20"/>
          <w:szCs w:val="20"/>
          <w:u w:val="single"/>
          <w:lang w:val="ru-RU"/>
        </w:rPr>
        <w:t>активность"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- инициативность, интенсивность общения: высокая (З.), средняя (С.), низкая (КР.)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540" w:firstLine="5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.Прогноз</w:t>
      </w:r>
      <w:proofErr w:type="gramEnd"/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развития</w:t>
      </w:r>
      <w:r w:rsidRPr="00863533">
        <w:rPr>
          <w:rFonts w:ascii="Times New Roman" w:hAnsi="Times New Roman" w:cs="Times New Roman"/>
          <w:b/>
          <w:bCs/>
          <w:lang w:val="ru-RU"/>
        </w:rPr>
        <w:t>: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дается диагноз ребенка,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показывающий возможности его развития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,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скорость</w:t>
      </w: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усвоения им программного материала: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</w:rPr>
        <w:t>F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70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умственная отсталость легкой степени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(дебильность,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JQ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 xml:space="preserve"> 50-69, /= 9-12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лет/)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0" w:right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</w:rPr>
        <w:t>F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-71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умственная отсталость умеренная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(</w:t>
      </w:r>
      <w:proofErr w:type="spellStart"/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нерезко</w:t>
      </w:r>
      <w:proofErr w:type="spellEnd"/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 xml:space="preserve"> выраженная </w:t>
      </w:r>
      <w:proofErr w:type="spellStart"/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имбецильность</w:t>
      </w:r>
      <w:proofErr w:type="spellEnd"/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,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JQ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 xml:space="preserve"> 35-49 /=6-9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лет/),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</w:rPr>
        <w:t>F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-72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умственная отсталость тяжелая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 xml:space="preserve">(резко выраженная </w:t>
      </w:r>
      <w:proofErr w:type="spellStart"/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имбецильность</w:t>
      </w:r>
      <w:proofErr w:type="spellEnd"/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,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JQ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 xml:space="preserve"> 20-34 /= 3-6</w:t>
      </w:r>
      <w:r w:rsidRPr="0086353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лет/)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Объем </w:t>
      </w:r>
      <w:proofErr w:type="gramStart"/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ЗАР(</w:t>
      </w:r>
      <w:proofErr w:type="gramEnd"/>
      <w:r w:rsidRPr="00863533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зона актуального развития). 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>Оценка зоны актуального развития: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1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уровень (З.) – полный объем программных требований школы </w:t>
      </w:r>
      <w:r>
        <w:rPr>
          <w:rFonts w:ascii="Times New Roman" w:hAnsi="Times New Roman" w:cs="Times New Roman"/>
          <w:i/>
          <w:iCs/>
          <w:sz w:val="20"/>
          <w:szCs w:val="20"/>
        </w:rPr>
        <w:t>VIII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вида </w:t>
      </w:r>
      <w:r>
        <w:rPr>
          <w:rFonts w:ascii="Times New Roman" w:hAnsi="Times New Roman" w:cs="Times New Roman"/>
          <w:i/>
          <w:iCs/>
          <w:sz w:val="20"/>
          <w:szCs w:val="20"/>
        </w:rPr>
        <w:t>II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уровень (С.) - снижение объема программных требований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III</w:t>
      </w:r>
      <w:r w:rsidRPr="0086353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уровень (КР.) – индивидуальный уровень программных требований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8267C" w:rsidRPr="00863533">
          <w:pgSz w:w="12242" w:h="15842"/>
          <w:pgMar w:top="1440" w:right="1140" w:bottom="1440" w:left="1700" w:header="720" w:footer="720" w:gutter="0"/>
          <w:cols w:space="720" w:equalWidth="0">
            <w:col w:w="9400"/>
          </w:cols>
          <w:noEndnote/>
        </w:sect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533">
        <w:rPr>
          <w:rFonts w:ascii="Times New Roman" w:hAnsi="Times New Roman" w:cs="Times New Roman"/>
          <w:b/>
          <w:bCs/>
          <w:i/>
          <w:iCs/>
          <w:sz w:val="19"/>
          <w:szCs w:val="19"/>
          <w:lang w:val="ru-RU"/>
        </w:rPr>
        <w:t xml:space="preserve">Темп развития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может быть:</w:t>
      </w:r>
      <w:r w:rsidRPr="00863533">
        <w:rPr>
          <w:rFonts w:ascii="Times New Roman" w:hAnsi="Times New Roman" w:cs="Times New Roman"/>
          <w:b/>
          <w:bCs/>
          <w:i/>
          <w:iCs/>
          <w:sz w:val="19"/>
          <w:szCs w:val="19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высокий</w:t>
      </w:r>
      <w:r w:rsidRPr="00863533">
        <w:rPr>
          <w:rFonts w:ascii="Times New Roman" w:hAnsi="Times New Roman" w:cs="Times New Roman"/>
          <w:b/>
          <w:bCs/>
          <w:i/>
          <w:iCs/>
          <w:sz w:val="19"/>
          <w:szCs w:val="19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(З.),</w:t>
      </w:r>
      <w:r w:rsidRPr="00863533">
        <w:rPr>
          <w:rFonts w:ascii="Times New Roman" w:hAnsi="Times New Roman" w:cs="Times New Roman"/>
          <w:b/>
          <w:bCs/>
          <w:i/>
          <w:iCs/>
          <w:sz w:val="19"/>
          <w:szCs w:val="19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средний</w:t>
      </w:r>
      <w:r w:rsidRPr="00863533">
        <w:rPr>
          <w:rFonts w:ascii="Times New Roman" w:hAnsi="Times New Roman" w:cs="Times New Roman"/>
          <w:b/>
          <w:bCs/>
          <w:i/>
          <w:iCs/>
          <w:sz w:val="19"/>
          <w:szCs w:val="19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(С.),</w:t>
      </w:r>
      <w:r w:rsidRPr="00863533">
        <w:rPr>
          <w:rFonts w:ascii="Times New Roman" w:hAnsi="Times New Roman" w:cs="Times New Roman"/>
          <w:b/>
          <w:bCs/>
          <w:i/>
          <w:iCs/>
          <w:sz w:val="19"/>
          <w:szCs w:val="19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низкий</w:t>
      </w:r>
      <w:r w:rsidRPr="00863533">
        <w:rPr>
          <w:rFonts w:ascii="Times New Roman" w:hAnsi="Times New Roman" w:cs="Times New Roman"/>
          <w:b/>
          <w:bCs/>
          <w:i/>
          <w:iCs/>
          <w:sz w:val="19"/>
          <w:szCs w:val="19"/>
          <w:lang w:val="ru-RU"/>
        </w:rPr>
        <w:t xml:space="preserve"> </w:t>
      </w:r>
      <w:r w:rsidRPr="00863533">
        <w:rPr>
          <w:rFonts w:ascii="Times New Roman" w:hAnsi="Times New Roman" w:cs="Times New Roman"/>
          <w:i/>
          <w:iCs/>
          <w:sz w:val="19"/>
          <w:szCs w:val="19"/>
          <w:lang w:val="ru-RU"/>
        </w:rPr>
        <w:t>(КР.).</w:t>
      </w:r>
    </w:p>
    <w:p w:rsidR="0038267C" w:rsidRPr="00863533" w:rsidRDefault="0038267C" w:rsidP="00382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8267C" w:rsidRPr="00863533">
          <w:type w:val="continuous"/>
          <w:pgSz w:w="12242" w:h="15842"/>
          <w:pgMar w:top="1440" w:right="4460" w:bottom="1440" w:left="1700" w:header="720" w:footer="720" w:gutter="0"/>
          <w:cols w:space="720" w:equalWidth="0">
            <w:col w:w="6080"/>
          </w:cols>
          <w:noEndnote/>
        </w:sectPr>
      </w:pPr>
    </w:p>
    <w:p w:rsidR="0072032D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Default="0038267C">
      <w:pPr>
        <w:rPr>
          <w:lang w:val="ru-RU"/>
        </w:rPr>
      </w:pPr>
    </w:p>
    <w:p w:rsidR="0038267C" w:rsidRPr="0038267C" w:rsidRDefault="0038267C">
      <w:pPr>
        <w:rPr>
          <w:lang w:val="ru-RU"/>
        </w:rPr>
      </w:pPr>
    </w:p>
    <w:sectPr w:rsidR="0038267C" w:rsidRPr="0038267C" w:rsidSect="00382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7C"/>
    <w:rsid w:val="002B1EC1"/>
    <w:rsid w:val="0038267C"/>
    <w:rsid w:val="00E4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DB89D-3346-4962-B872-E5304718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7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7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2016-04-10T14:49:00Z</dcterms:created>
  <dcterms:modified xsi:type="dcterms:W3CDTF">2016-04-10T14:58:00Z</dcterms:modified>
</cp:coreProperties>
</file>