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8E" w:rsidRPr="00252707" w:rsidRDefault="00336D0A" w:rsidP="004F7CE5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527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ФОРМИРОВАНИЕ</w:t>
      </w:r>
      <w:r w:rsidR="00591F8E" w:rsidRPr="002527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5426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ИНТЕРЕС</w:t>
      </w:r>
      <w:r w:rsidR="005426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 </w:t>
      </w:r>
      <w:bookmarkStart w:id="0" w:name="_GoBack"/>
      <w:bookmarkEnd w:id="0"/>
      <w:r w:rsidR="00542644" w:rsidRPr="002527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 </w:t>
      </w:r>
      <w:r w:rsidR="005426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ДЕТЕЙ СТАРШЕГО ДОШКОЛЬНОГО ВОЗРАСТА</w:t>
      </w:r>
      <w:r w:rsidR="00542644" w:rsidRPr="002527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831D37" w:rsidRPr="002527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 ЗАНЯТИЯМ ФИЗИЧЕСКОЙ КУЛЬТУРОЙ</w:t>
      </w:r>
      <w:r w:rsidR="00252707" w:rsidRPr="002527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ЧЕРЕЗ ПОЗНОВАТЕЛЬНО-ИГРОВЫЕ ТЕХНОЛОГИИ.</w:t>
      </w:r>
    </w:p>
    <w:p w:rsidR="00541488" w:rsidRPr="009543EE" w:rsidRDefault="000E118D" w:rsidP="00F85972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Частихина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Е</w:t>
      </w:r>
      <w:r w:rsidR="00541488" w:rsidRPr="009543EE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.В.</w:t>
      </w:r>
    </w:p>
    <w:p w:rsidR="00B532AB" w:rsidRPr="00B532AB" w:rsidRDefault="00252707" w:rsidP="00B532AB">
      <w:pPr>
        <w:autoSpaceDE w:val="0"/>
        <w:autoSpaceDN w:val="0"/>
        <w:adjustRightInd w:val="0"/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E67C19" w:rsidRPr="009543EE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541488" w:rsidRPr="009543E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E67C19" w:rsidRPr="009543EE">
        <w:rPr>
          <w:rFonts w:ascii="Times New Roman" w:eastAsia="Times New Roman" w:hAnsi="Times New Roman" w:cs="Times New Roman"/>
          <w:i/>
          <w:sz w:val="28"/>
          <w:szCs w:val="28"/>
        </w:rPr>
        <w:t>ОУ</w:t>
      </w:r>
      <w:r w:rsidR="00541488" w:rsidRPr="009543EE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B532AB" w:rsidRPr="00B532AB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Государственное бюджетное</w:t>
      </w:r>
      <w:r w:rsidR="00B532AB">
        <w:rPr>
          <w:rFonts w:ascii="Times New Roman" w:eastAsia="Times New Roman" w:hAnsi="Times New Roman" w:cs="Times New Roman"/>
          <w:i/>
          <w:sz w:val="28"/>
          <w:szCs w:val="28"/>
        </w:rPr>
        <w:t xml:space="preserve"> дошкольное общеобразовательное </w:t>
      </w:r>
      <w:r w:rsidR="00B532AB" w:rsidRPr="00B532AB">
        <w:rPr>
          <w:rFonts w:ascii="Times New Roman" w:eastAsia="Times New Roman" w:hAnsi="Times New Roman" w:cs="Times New Roman"/>
          <w:i/>
          <w:sz w:val="28"/>
          <w:szCs w:val="28"/>
        </w:rPr>
        <w:t>учреждение</w:t>
      </w:r>
    </w:p>
    <w:p w:rsidR="005663F6" w:rsidRPr="009543EE" w:rsidRDefault="00B532AB" w:rsidP="00B532AB">
      <w:pPr>
        <w:autoSpaceDE w:val="0"/>
        <w:autoSpaceDN w:val="0"/>
        <w:adjustRightInd w:val="0"/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2AB">
        <w:rPr>
          <w:rFonts w:ascii="Times New Roman" w:eastAsia="Times New Roman" w:hAnsi="Times New Roman" w:cs="Times New Roman"/>
          <w:i/>
          <w:sz w:val="28"/>
          <w:szCs w:val="28"/>
        </w:rPr>
        <w:t>Детский сад №14 комбинированного вида «</w:t>
      </w:r>
      <w:proofErr w:type="spellStart"/>
      <w:r w:rsidRPr="00B532AB">
        <w:rPr>
          <w:rFonts w:ascii="Times New Roman" w:eastAsia="Times New Roman" w:hAnsi="Times New Roman" w:cs="Times New Roman"/>
          <w:i/>
          <w:sz w:val="28"/>
          <w:szCs w:val="28"/>
        </w:rPr>
        <w:t>Пеликаши</w:t>
      </w:r>
      <w:proofErr w:type="spellEnd"/>
      <w:r w:rsidRPr="00B532AB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541488" w:rsidRPr="009543EE">
        <w:rPr>
          <w:rFonts w:ascii="Times New Roman" w:eastAsia="Times New Roman" w:hAnsi="Times New Roman" w:cs="Times New Roman"/>
          <w:i/>
          <w:sz w:val="28"/>
          <w:szCs w:val="28"/>
        </w:rPr>
        <w:t xml:space="preserve">г. </w:t>
      </w:r>
      <w:proofErr w:type="gramStart"/>
      <w:r w:rsidR="000E118D">
        <w:rPr>
          <w:rFonts w:ascii="Times New Roman" w:eastAsia="Times New Roman" w:hAnsi="Times New Roman" w:cs="Times New Roman"/>
          <w:i/>
          <w:sz w:val="28"/>
          <w:szCs w:val="28"/>
        </w:rPr>
        <w:t>С-Пб</w:t>
      </w:r>
      <w:proofErr w:type="gramEnd"/>
    </w:p>
    <w:p w:rsidR="003F538D" w:rsidRPr="009543EE" w:rsidRDefault="003F538D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43EE">
        <w:rPr>
          <w:rFonts w:ascii="Times New Roman" w:eastAsia="Times New Roman" w:hAnsi="Times New Roman" w:cs="Times New Roman"/>
          <w:b/>
          <w:sz w:val="28"/>
          <w:szCs w:val="28"/>
        </w:rPr>
        <w:t>Ключевые слова</w:t>
      </w:r>
      <w:r w:rsidRPr="009543EE">
        <w:rPr>
          <w:rFonts w:ascii="Times New Roman" w:eastAsia="Times New Roman" w:hAnsi="Times New Roman" w:cs="Times New Roman"/>
          <w:sz w:val="28"/>
          <w:szCs w:val="28"/>
        </w:rPr>
        <w:t>: дошкольники, физическая культу</w:t>
      </w:r>
      <w:r w:rsidR="00D0656C" w:rsidRPr="009543EE">
        <w:rPr>
          <w:rFonts w:ascii="Times New Roman" w:eastAsia="Times New Roman" w:hAnsi="Times New Roman" w:cs="Times New Roman"/>
          <w:sz w:val="28"/>
          <w:szCs w:val="28"/>
        </w:rPr>
        <w:t>ра, подвижные игры, здоровье</w:t>
      </w:r>
      <w:r w:rsidRPr="009543EE">
        <w:rPr>
          <w:rFonts w:ascii="Times New Roman" w:eastAsia="Times New Roman" w:hAnsi="Times New Roman" w:cs="Times New Roman"/>
          <w:sz w:val="28"/>
          <w:szCs w:val="28"/>
        </w:rPr>
        <w:t>, здоровый образ жизни</w:t>
      </w:r>
      <w:r w:rsidR="00C85E26" w:rsidRPr="00954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8AA" w:rsidRPr="009543EE" w:rsidRDefault="009543EE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едеральные государственные требования направлены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3478AA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а формирование у ребенка интереса и ценностного отношения к занятиям физической</w:t>
      </w:r>
      <w:r w:rsidR="003478AA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478AA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культурой, потребности в двигательной активности, физическом совершенствовании и культуры собственного здоровья</w:t>
      </w:r>
      <w:r w:rsidR="00DE4A74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[5]</w:t>
      </w:r>
    </w:p>
    <w:p w:rsidR="003478AA" w:rsidRPr="009543EE" w:rsidRDefault="003478AA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Основными задачами дошкольного образовательного учреждения являются: охрана жизни, укрепление физического и психического здоровья детей; взаимодействие с семьями детей для обеспечения полноценного их развития; оказание консультативной и методической помощи родителям по вопросам воспит</w:t>
      </w:r>
      <w:r w:rsidR="00DE4A74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ания, обучения и развития детей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.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96BD7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[9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311E00" w:rsidRPr="009543EE" w:rsidRDefault="00311E00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</w:t>
      </w:r>
      <w:r w:rsidR="00A33009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данным НИИ гигиены и охраны здоровья детей и подростков, Научного центра здоровья детей РАМН за последнее время число здоровых дошкольников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уменьшилось в пять раз. Становится очевидным, что сегодня необходим научный взгляд на деятельность образовательных учреждений не только с точки зрения решения задач обучения, воспитания и развития, но и целенаправленного воспитания здорового поколения. Острота проблемы здоровья детей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обусловлена изменившимися экологическими условиями, экономическими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демографическими процессами, происходящими в обществе. Помимо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уменьшения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рождаемости в российском обществе, существует проблема накопления в нем больных детей с различной патологией.</w:t>
      </w:r>
    </w:p>
    <w:p w:rsidR="00DE4A74" w:rsidRPr="009543EE" w:rsidRDefault="005663F6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Последние годы как ученые, так и педагоги, работающие с дошкольниками, активно ищут эффективные пути физического совершенствования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дошкольников. Сегодня существует необходимость в научно обоснованных подходах выявления проблем в физической культуре дошкольников и поиске путей воспитания здорового, гармонично развитого ребенка.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Мног</w:t>
      </w:r>
      <w:r w:rsidR="00DE4A74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ие исследователи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 констатируют тот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факт, что оздоровление дошкольников является средством гармонического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развития ребенка, школой управления собственным поведением, формирования положительных взаимоотношений, благополучного эмоционального состояния. </w:t>
      </w:r>
      <w:r w:rsidR="00496BD7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[2, 4, 8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5663F6" w:rsidRPr="009543EE" w:rsidRDefault="000B344C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Некоторые исследователи </w:t>
      </w:r>
      <w:r w:rsidR="005663F6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рассматривают в своих</w:t>
      </w:r>
      <w:r w:rsidR="005663F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5663F6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работах особенности развития двигательных способностей дошкольников</w:t>
      </w:r>
      <w:r w:rsidR="003A5CD5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5663F6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 в</w:t>
      </w:r>
      <w:r w:rsidR="005663F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5663F6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том числе и средствами подвижных игр.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[</w:t>
      </w:r>
      <w:r w:rsidR="003002A8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1, 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7, 10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7E0A3A" w:rsidRPr="009543EE" w:rsidRDefault="007E0A3A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Для детей дошкольного возраста подвижные игры успешно помогают решать многие задачи их всестороннего развития. Играя,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дошкольники непринужденно и свободно овладевают новыми сложными видами движений, становятся более ловкими и сообразительными. Основное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назначение подвижных игр и комплексов упражнений – достичь наибольшей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двигательной активности и эмоционального состояния дошкольников на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протяжении всего занятия. Понятие «двигательная активность» определяется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как сумма движений, выполняемых дошкольником в процессе своей жизнедеятельности. Двигательная активность в детском возрасте подразделяется на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три составные части: активность в процессе физического воспитания; физическая активность, осуществляемая во время обучения и трудовой деятельности; спонтанная физическая активность в свободное время. Обоснование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рационального двигательного режима для детей, нормирование физических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нагрузок является одной из наиболее сложных проблем современной возрастной физиологии. Известно, что как малая, так и повышенная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двигательная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активность имеют свои издержки. Исследования гигиенистов и физиологов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свидетельствуют о том, что до 82-85% </w:t>
      </w:r>
      <w:r w:rsidR="00500442"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дневного времени большинство до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школьников находятся в статическом положении (сидя). Одним из важнейших индивидуальных отличий ребенка являются особенности его здоровья.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[11</w:t>
      </w:r>
      <w:r w:rsidR="006C0F86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Игра является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особой формой общественной жизни дошкольников, в которой они по желанию объединяются, самостоятельно действуют, осуществляют свои замыслы, познают мир. Самостоятельная игровая деятельность способствует физическому и психическому развитию каждого ребенка, воспитанию нравственно-волевых каче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ств, творческих способностей. [6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Основным условием успешного проведения игры является владение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педагогом методикой игрового процесса.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 методику подготовки и проведения подвижных игр для детей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дошкольного возраста входят: подготовка к игре, организация, руководство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 методические приемы регулирования нагрузки в игре, окончание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подведение итогов игры.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[11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Преподавателю необходимо заранее подготовиться к проведению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игры: выбор игры, место и время проведения, инвентарь и методика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проведения игры. Выбор и планирование подвижных игр осуществляются в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соответствии с «Программой воспитания и обучения в детском саду». При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этом учитываются: возрастные особенности детей, их умственное развитие,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физическая подготовленность, количество играющих детей, условия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проведения игры.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Вторым важным положением в методике проведения игры является ее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организация, включающая в себя: сбор детей, создание и поддержание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интереса к игре, размещение занимающихся во время объяснения, раздачу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атрибутов (инвентаря), необходимых для игры, и подачу сигнала для ее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начала.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Собирать детей необходимо в том месте, откуда будут начинаться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игровые действия. Сбор должен проходить быстро и интересно, важно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применять разные приемы сбора. В младшем дошкольном возрасте задачей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преподавателя является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привлечение внимания детей, например, поиграть с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мячом, сопровождая движения стихами. Малышей нужно учить играть,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формировать интерес к подвижным играм.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Старшие дошкольники уже любят и умеют играть. Поэтому с ними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можно использовать более сложные способы сбора на игру: </w:t>
      </w: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зазывалочки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, 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можно договариваться о месте и начале игры, сигнал сбора; поручить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одному из детей собрать остальных в установленный ограниченный срок;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использование нестандартных звуковых или зрительных сигналов и т.д.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 протяжении всей игры необходимо поддерживать интерес к ней,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используя для этого различные приемы и способы. Особенно важно создать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интерес в начале игры, чтобы придать целенаправленность игровым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действиям.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Интерес к играм с элементами соревнования увеличивается, если детей одевают в форму, выбирают капитанов, судью и его помощника. Проведение игр с элементами соревнований требует от взрослого большого такта, объективности и справедливости оценок действий детей, что способствует у них друже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любия и чувства товарищества. [3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Способы создания интереса тесно связаны с приемами сбора детей,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например, интригующий вопрос к малышам: «Хотите быть летчиками?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Бегите на аэродром!».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 старших группах детей приемы создания интереса используются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главным образом, когда игра разучивается, чаще всего это стихи, песенки,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загадки на тему игры или рассматривание следов на снегу, по которым надо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найти спрятавшихся, переодевание и др.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От правильного объяснения игры в значительной мере зависит успех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ее проведения. При этом необходимо придерживаться следующей схемы: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дать название игры и цель ее проведения; разместить детей для объяснения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содержания игры и правил ее проведения; распределить роли или согласно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условиям игры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разделить детей на команды, назначить капитанов,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помощников или </w:t>
      </w:r>
      <w:r w:rsidR="00736CE9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водящих</w:t>
      </w:r>
      <w:r w:rsidR="00736CE9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. После этого раздать инвентарь и подать сигнал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для начала игры.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Организация играющих начинается с размещения их на площадке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выбора места руководителем для объяснения игры. До начала игры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рекомендуется построить игроков в исходное положение, из которого они ее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начнут. При этом преподаватель должен стоять так, чтобы дети хорошо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видели и слышали его.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Ознакомление детей с игрой, объяснение ее содержания и правил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требуют от преподавателя тщательной подготовки. Объяснение может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проходить по-разному, но оно должно быть кратким, точным, эмоционально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интересным, возбуждающим желание скорее начать игру.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Для объяснения несюжетной игры преподаватель указывает на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последовательность игровых действий, местоположение детей и игровых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атрибутов и разъясняет правила. Педагог может серьезно или в шутливой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форме задать несколько вопросов, чтобы проверить, как дети поняли то, что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им рассказали, попросить повторить правила игры, самостоятельно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рассказать ее содержание.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Сюжетная игра, особенно в младшем и среднем дошкольном возрасте,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требует несколько других приемов. Преподавателю необходимо создать у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детей наглядную картину игровой ситуации, ярче выделить игровые образы,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воздействовать на воображение и эмоции детей. Для этого используется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игрушка, рассказ, что особенно важно для младшей группы. Сложные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моменты игры могут разъясняться жестами и отдельными движениями или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воспроизводится самим руководителем вместе с детьми.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Существует большое количество способов разделения на команды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выбора водящих, например, в зависимости от поставленных задач, условий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занятий, характера игры, количества играющих и их настроения.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Желательно, чтобы в роли водящих побывало как можно большее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количество играющих, что оказывает большое воспитательное воздействие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на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детей. Игра только тогда проходит весело и слаженно, когда детям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понятны действия и правила, которые они должны выполнять.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Третьим положением в методике проведения подвижных игр с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дошкольниками является руководство игрой. Оно включает в себя: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организованное начало игры, исправление ошибок в игре, контроль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страховку в наиболее опасных моментах игры, поддержание интереса к игре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 определение причин его потери, соблюдение правил игры,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индивидуальный подход к участникам игры, судейство игры.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Организованное и своевременное начало игры – важный фактор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руководства, так как задержка снижает настрой на игру, уменьшает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готовность детей к игре и приводит к забыванию правил и т.д.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Для начала игры необходимо употреблять различные команды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считалки, чтобы развивать у детей быстроту двигательной реакции на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различные указания и сигналы.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 процессе игры необходимо добиваться сознательного соблюдения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правил. В тоже время, руководитель должен содействовать развитию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творческой инициативы и дать детям возможность проявлять активность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самостоятельность.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Нарушение дисциплины в процессе игры может возникнуть в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результате неправильного объяснения правил игры, неудачного выбора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водящих или разделения на команды. В этом случае педагог должен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немедленно остановить игру и устранить ошибки. Часто дисциплину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нарушают несдержанные игроки, с которыми надо вести воспитательную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работу: лично поручить им роль водящего, судьи, а иногда и отстранить от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игры.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Одним из важных моментов при проведении игры является судейство,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которое должно быть объективно и беспристрастно, так как игра теряет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свою педагогическую ценность, если не соблюдаются ее правила.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Четвертым методическим положением является нагрузка.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Регулировать нагрузку можно, используя следующие приемы: изменять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(увеличивать или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уменьшать) продолжительность игры или число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повторений; изменять количество действий, темп и амплитуду движений;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изменять игровую площадь; вес инвентаря; изменять правила игры; вводить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или устранять перерывы;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Подвижная игра – школа движений, поэтому по мере накопления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детьми двигательного опыта ее нужно усложнять, что делает более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интересными хорошо знакомые игры, но, варьируя игрой нельзя менять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сюжет и композицию игры.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Продолжительность игры зависит от многих факторов: от количества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участников (чем их меньше, тем игра короче); от возраста (дети младшего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возраста не могут быть долго в напряжении); от содержания игры (игры,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требующие большего напряжения, должны быть короче), от места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проведения, темпа, от опыта руководителя; от получаемой нагрузки в игре.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Пятым положением в методике проведения подвижной игры является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умение преподавателя вовремя определить момент окончания игры. Игру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следует заканчивать при проявлении следующих признаков утомления: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рассеянное внимание, начало частого нарушения правил, неточность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выполнения движений, недостаточное проявление настойчивости в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достижении цели, снижение заинтересованности, учащение дыхания у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большинства участников.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Окончание игры определяется руководителем, о чем он предупреждает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играющих. Если время окончания игры не было оговорено заранее, то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педагог должен предупредить об окончании игры за некоторое время до ее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окончания.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Шестым положением является подведение итогов игры, где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необходимо учитывать не только быстроту, но и качество выполнения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задания, о чем участники должны знать заранее. Необходимо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проанализировать ошибки, допущенные в игре, отметить детей, хорошо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выполнивших свои роли, проявивших смелость, быстроту, взаимопомощь и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в тоже время тех, кто плохо справился с заданием (старший возраст). Анализ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игры позволяет уяснить, насколько усвоена игра, что понравилось и над чем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надо поработать в дальнейшем.</w:t>
      </w:r>
      <w:r w:rsidR="006C7230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[11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]</w:t>
      </w:r>
    </w:p>
    <w:p w:rsidR="00870B61" w:rsidRPr="009543EE" w:rsidRDefault="00870B61" w:rsidP="004414B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lastRenderedPageBreak/>
        <w:t>Предложенная и апробированная методика подготовки и проведения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подвижных игр способствует более успешному их проведению</w:t>
      </w:r>
      <w:r w:rsidR="00A737F1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 xml:space="preserve"> быстрому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усвоению двигательного материала</w:t>
      </w:r>
      <w:r w:rsidR="005D6041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формированию интереса к занятиям физической культурой</w:t>
      </w: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  <w:lang w:val="x-none"/>
        </w:rPr>
        <w:t>.</w:t>
      </w:r>
    </w:p>
    <w:p w:rsidR="00870B61" w:rsidRPr="009543EE" w:rsidRDefault="00870B61" w:rsidP="004F7CE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ЛИТЕРАТУРА</w:t>
      </w:r>
    </w:p>
    <w:p w:rsidR="003F538D" w:rsidRPr="009543EE" w:rsidRDefault="003F538D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Артамонова Т. В. Сравнительная характеристика показателей координационных способностей у детей 5–6 лет с общим недоразвитием речи // Физ. культура: воспитание, образование, тренировка. – 2007. – N1. – С. 61–62</w:t>
      </w:r>
    </w:p>
    <w:p w:rsidR="003F538D" w:rsidRPr="009543EE" w:rsidRDefault="003F538D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Волошина Л.Н. Играйте на здоровье! Программа и технология физического воспитания детей 5-7 л</w:t>
      </w:r>
      <w:r w:rsidR="00BD19FE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ет.  – </w:t>
      </w:r>
      <w:r w:rsidR="002A2CB5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М.: </w:t>
      </w:r>
      <w:r w:rsidR="00BD19FE"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АРКТИ, 2004</w:t>
      </w:r>
    </w:p>
    <w:p w:rsidR="00870B61" w:rsidRPr="009543EE" w:rsidRDefault="00870B61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Методические рекомендации к «Программе воспитания и обучения в детском саду». / Под ред. В.В. Гербовой, Т.С. Комаровой. – </w:t>
      </w: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М.:Мозаика-синтез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, 2008. – 400 с.</w:t>
      </w:r>
    </w:p>
    <w:p w:rsidR="00433FC0" w:rsidRPr="009543EE" w:rsidRDefault="00433FC0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Осокина Т. И. Физическая культура в детском саду. М., 1986.</w:t>
      </w:r>
    </w:p>
    <w:p w:rsidR="003F538D" w:rsidRPr="009543EE" w:rsidRDefault="003F538D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Приказ Министерства образования и науки Российской Федерации №655 от 25 ноября 2009 г.</w:t>
      </w:r>
    </w:p>
    <w:p w:rsidR="00870B61" w:rsidRPr="009543EE" w:rsidRDefault="00870B61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воспитания и обучения в детском саду</w:t>
      </w:r>
      <w:proofErr w:type="gram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/ П</w:t>
      </w:r>
      <w:proofErr w:type="gram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 ред. М.А. Васильевой, В.В. Гербовой, Т.С. Комаровой. – </w:t>
      </w: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М.:Мозаика-синтез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, 2009. – 208 с.</w:t>
      </w:r>
    </w:p>
    <w:p w:rsidR="003F538D" w:rsidRPr="009543EE" w:rsidRDefault="003F538D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Рунова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М.А. Двигательная активность ребенка в детском саду: Пособие для педагогов дошкольных учреждений, преподавателей и студентов педвузов и колледжей. – М.: Мозаика-Синтез, 2000.</w:t>
      </w:r>
    </w:p>
    <w:p w:rsidR="00433FC0" w:rsidRPr="009543EE" w:rsidRDefault="00433FC0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Степаненкова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Э.Я. Теория и методика физического воспитания и развития ребенка: Учеб</w:t>
      </w:r>
      <w:proofErr w:type="gram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proofErr w:type="gram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особие для студ. </w:t>
      </w: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высш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. учеб. заведений. — М.: Издательский центр «Академия», 2006. — 368 с.</w:t>
      </w:r>
    </w:p>
    <w:p w:rsidR="003F538D" w:rsidRPr="009543EE" w:rsidRDefault="003F538D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Типовое положение о дошкольном образовательном учреждении. Постановление Правительства Российской Федерации от 12 сентября 2008 г. №666</w:t>
      </w:r>
    </w:p>
    <w:p w:rsidR="006C0F86" w:rsidRPr="009543EE" w:rsidRDefault="006C0F86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Филиппова С.О. Физическое воспитание и развитие дошкольников: Учебное пособие. – </w:t>
      </w: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М.:Академия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, 2007</w:t>
      </w:r>
    </w:p>
    <w:p w:rsidR="006C0F86" w:rsidRPr="009543EE" w:rsidRDefault="00870B61" w:rsidP="004F7C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Шебеко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В.Н., Ермак Н.Н., Шишкина В.А. Физическое воспитание дошкольников: </w:t>
      </w:r>
      <w:proofErr w:type="spell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Учеб</w:t>
      </w:r>
      <w:proofErr w:type="gramStart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.п</w:t>
      </w:r>
      <w:proofErr w:type="gram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особие</w:t>
      </w:r>
      <w:proofErr w:type="spellEnd"/>
      <w:r w:rsidRPr="009543EE">
        <w:rPr>
          <w:rFonts w:ascii="Times New Roman" w:eastAsia="Times New Roman" w:hAnsi="Times New Roman" w:cs="Times New Roman"/>
          <w:color w:val="000000"/>
          <w:sz w:val="28"/>
          <w:szCs w:val="24"/>
        </w:rPr>
        <w:t>. – М.: Издательский центр «Академия», 2000. – 176с.</w:t>
      </w:r>
    </w:p>
    <w:sectPr w:rsidR="006C0F86" w:rsidRPr="009543EE" w:rsidSect="00F80B0A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0E59"/>
    <w:multiLevelType w:val="hybridMultilevel"/>
    <w:tmpl w:val="284A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16015"/>
    <w:multiLevelType w:val="hybridMultilevel"/>
    <w:tmpl w:val="AB2C61FA"/>
    <w:lvl w:ilvl="0" w:tplc="3BEE6B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AA"/>
    <w:rsid w:val="00004F80"/>
    <w:rsid w:val="000117C9"/>
    <w:rsid w:val="0003578B"/>
    <w:rsid w:val="00035B7F"/>
    <w:rsid w:val="0005237A"/>
    <w:rsid w:val="00057951"/>
    <w:rsid w:val="000620F6"/>
    <w:rsid w:val="00080837"/>
    <w:rsid w:val="00081865"/>
    <w:rsid w:val="000958EA"/>
    <w:rsid w:val="000A327F"/>
    <w:rsid w:val="000A3907"/>
    <w:rsid w:val="000A64D4"/>
    <w:rsid w:val="000B344C"/>
    <w:rsid w:val="000B6885"/>
    <w:rsid w:val="000D045C"/>
    <w:rsid w:val="000E118D"/>
    <w:rsid w:val="000E4BBC"/>
    <w:rsid w:val="000E5D32"/>
    <w:rsid w:val="000F0523"/>
    <w:rsid w:val="000F6195"/>
    <w:rsid w:val="000F6843"/>
    <w:rsid w:val="001015F3"/>
    <w:rsid w:val="001079C4"/>
    <w:rsid w:val="00116AD9"/>
    <w:rsid w:val="00120A43"/>
    <w:rsid w:val="00140119"/>
    <w:rsid w:val="00160116"/>
    <w:rsid w:val="00185A37"/>
    <w:rsid w:val="001A3919"/>
    <w:rsid w:val="001A78B6"/>
    <w:rsid w:val="001B30EB"/>
    <w:rsid w:val="001B5BB1"/>
    <w:rsid w:val="001B7922"/>
    <w:rsid w:val="001C2274"/>
    <w:rsid w:val="001D1620"/>
    <w:rsid w:val="001E377A"/>
    <w:rsid w:val="001E715C"/>
    <w:rsid w:val="001F7EDD"/>
    <w:rsid w:val="00215195"/>
    <w:rsid w:val="00224D21"/>
    <w:rsid w:val="002338E8"/>
    <w:rsid w:val="002442C4"/>
    <w:rsid w:val="002456CD"/>
    <w:rsid w:val="00252707"/>
    <w:rsid w:val="00256043"/>
    <w:rsid w:val="00256B2A"/>
    <w:rsid w:val="00257A6C"/>
    <w:rsid w:val="0027537C"/>
    <w:rsid w:val="00284F97"/>
    <w:rsid w:val="002912CD"/>
    <w:rsid w:val="002A2CB5"/>
    <w:rsid w:val="002B37BA"/>
    <w:rsid w:val="002D0762"/>
    <w:rsid w:val="002F42F8"/>
    <w:rsid w:val="003002A8"/>
    <w:rsid w:val="00311E00"/>
    <w:rsid w:val="003142A5"/>
    <w:rsid w:val="00321903"/>
    <w:rsid w:val="00327167"/>
    <w:rsid w:val="00336D0A"/>
    <w:rsid w:val="003478AA"/>
    <w:rsid w:val="00352BAF"/>
    <w:rsid w:val="00357C99"/>
    <w:rsid w:val="00381D20"/>
    <w:rsid w:val="00382617"/>
    <w:rsid w:val="00394B51"/>
    <w:rsid w:val="003A2771"/>
    <w:rsid w:val="003A5CD5"/>
    <w:rsid w:val="003C6371"/>
    <w:rsid w:val="003E2549"/>
    <w:rsid w:val="003E5877"/>
    <w:rsid w:val="003F538D"/>
    <w:rsid w:val="00415044"/>
    <w:rsid w:val="00433FC0"/>
    <w:rsid w:val="00436FB6"/>
    <w:rsid w:val="004414B5"/>
    <w:rsid w:val="0046493E"/>
    <w:rsid w:val="00472778"/>
    <w:rsid w:val="0048630D"/>
    <w:rsid w:val="004955CB"/>
    <w:rsid w:val="00496BD7"/>
    <w:rsid w:val="004975B0"/>
    <w:rsid w:val="004A12A8"/>
    <w:rsid w:val="004A181A"/>
    <w:rsid w:val="004B6BE6"/>
    <w:rsid w:val="004C3EE5"/>
    <w:rsid w:val="004C7C5C"/>
    <w:rsid w:val="004D17CA"/>
    <w:rsid w:val="004E18A8"/>
    <w:rsid w:val="004F37DF"/>
    <w:rsid w:val="004F7CE5"/>
    <w:rsid w:val="00500442"/>
    <w:rsid w:val="00505DB7"/>
    <w:rsid w:val="00516445"/>
    <w:rsid w:val="0051694C"/>
    <w:rsid w:val="00527A25"/>
    <w:rsid w:val="00541488"/>
    <w:rsid w:val="00542644"/>
    <w:rsid w:val="00551AB3"/>
    <w:rsid w:val="00565B18"/>
    <w:rsid w:val="005663F6"/>
    <w:rsid w:val="005777C0"/>
    <w:rsid w:val="00580DE1"/>
    <w:rsid w:val="00583239"/>
    <w:rsid w:val="00591F8E"/>
    <w:rsid w:val="00593A01"/>
    <w:rsid w:val="005A2226"/>
    <w:rsid w:val="005B2FB8"/>
    <w:rsid w:val="005B6248"/>
    <w:rsid w:val="005B6B19"/>
    <w:rsid w:val="005D171B"/>
    <w:rsid w:val="005D6041"/>
    <w:rsid w:val="005F36E7"/>
    <w:rsid w:val="00604A0A"/>
    <w:rsid w:val="00622A39"/>
    <w:rsid w:val="00626E41"/>
    <w:rsid w:val="00644D68"/>
    <w:rsid w:val="00656E8D"/>
    <w:rsid w:val="00686B56"/>
    <w:rsid w:val="006923C7"/>
    <w:rsid w:val="00697867"/>
    <w:rsid w:val="006A0C18"/>
    <w:rsid w:val="006A1E4A"/>
    <w:rsid w:val="006B5E99"/>
    <w:rsid w:val="006C0F86"/>
    <w:rsid w:val="006C1343"/>
    <w:rsid w:val="006C42CA"/>
    <w:rsid w:val="006C7230"/>
    <w:rsid w:val="006F1B67"/>
    <w:rsid w:val="006F60A0"/>
    <w:rsid w:val="00724A61"/>
    <w:rsid w:val="0073523F"/>
    <w:rsid w:val="007354FF"/>
    <w:rsid w:val="00736CE9"/>
    <w:rsid w:val="0074003D"/>
    <w:rsid w:val="00747AF0"/>
    <w:rsid w:val="00776ED6"/>
    <w:rsid w:val="007A0F44"/>
    <w:rsid w:val="007D5FF4"/>
    <w:rsid w:val="007E0A3A"/>
    <w:rsid w:val="007E109C"/>
    <w:rsid w:val="007F040B"/>
    <w:rsid w:val="00820D49"/>
    <w:rsid w:val="00821384"/>
    <w:rsid w:val="00826F36"/>
    <w:rsid w:val="00831D37"/>
    <w:rsid w:val="00832313"/>
    <w:rsid w:val="00834BE7"/>
    <w:rsid w:val="00837224"/>
    <w:rsid w:val="008476AB"/>
    <w:rsid w:val="00855106"/>
    <w:rsid w:val="00870711"/>
    <w:rsid w:val="00870B61"/>
    <w:rsid w:val="00870D54"/>
    <w:rsid w:val="00880A43"/>
    <w:rsid w:val="008B59F3"/>
    <w:rsid w:val="008E2A8C"/>
    <w:rsid w:val="008F498C"/>
    <w:rsid w:val="00902567"/>
    <w:rsid w:val="00950A97"/>
    <w:rsid w:val="0095226D"/>
    <w:rsid w:val="0095311A"/>
    <w:rsid w:val="009537F2"/>
    <w:rsid w:val="009543EE"/>
    <w:rsid w:val="009769DF"/>
    <w:rsid w:val="009C1377"/>
    <w:rsid w:val="009C3628"/>
    <w:rsid w:val="009D22A3"/>
    <w:rsid w:val="009F4E6A"/>
    <w:rsid w:val="00A01FF7"/>
    <w:rsid w:val="00A1093B"/>
    <w:rsid w:val="00A1162C"/>
    <w:rsid w:val="00A17CD2"/>
    <w:rsid w:val="00A21CCD"/>
    <w:rsid w:val="00A23016"/>
    <w:rsid w:val="00A33009"/>
    <w:rsid w:val="00A536C4"/>
    <w:rsid w:val="00A71207"/>
    <w:rsid w:val="00A737F1"/>
    <w:rsid w:val="00A777B2"/>
    <w:rsid w:val="00A86A9F"/>
    <w:rsid w:val="00A94E4A"/>
    <w:rsid w:val="00A9575C"/>
    <w:rsid w:val="00AA6FD4"/>
    <w:rsid w:val="00B10F9F"/>
    <w:rsid w:val="00B1369A"/>
    <w:rsid w:val="00B21B70"/>
    <w:rsid w:val="00B3721F"/>
    <w:rsid w:val="00B52555"/>
    <w:rsid w:val="00B532AB"/>
    <w:rsid w:val="00B53E6F"/>
    <w:rsid w:val="00B95FBA"/>
    <w:rsid w:val="00BB3AAB"/>
    <w:rsid w:val="00BB51A3"/>
    <w:rsid w:val="00BC07F8"/>
    <w:rsid w:val="00BD19FE"/>
    <w:rsid w:val="00C1652D"/>
    <w:rsid w:val="00C17E78"/>
    <w:rsid w:val="00C230F0"/>
    <w:rsid w:val="00C474DD"/>
    <w:rsid w:val="00C5512E"/>
    <w:rsid w:val="00C85E26"/>
    <w:rsid w:val="00CA2029"/>
    <w:rsid w:val="00CA2D5D"/>
    <w:rsid w:val="00CB571F"/>
    <w:rsid w:val="00CC2AF4"/>
    <w:rsid w:val="00CC6DA5"/>
    <w:rsid w:val="00CF4987"/>
    <w:rsid w:val="00CF60E8"/>
    <w:rsid w:val="00D0656C"/>
    <w:rsid w:val="00D24B08"/>
    <w:rsid w:val="00D26C07"/>
    <w:rsid w:val="00D406E6"/>
    <w:rsid w:val="00D545EF"/>
    <w:rsid w:val="00DA387E"/>
    <w:rsid w:val="00DE4A74"/>
    <w:rsid w:val="00DF34F8"/>
    <w:rsid w:val="00DF43D1"/>
    <w:rsid w:val="00DF5C43"/>
    <w:rsid w:val="00E00DEA"/>
    <w:rsid w:val="00E06607"/>
    <w:rsid w:val="00E120D8"/>
    <w:rsid w:val="00E143B5"/>
    <w:rsid w:val="00E3466F"/>
    <w:rsid w:val="00E47F17"/>
    <w:rsid w:val="00E60AFF"/>
    <w:rsid w:val="00E67C19"/>
    <w:rsid w:val="00EE7D7A"/>
    <w:rsid w:val="00F4081F"/>
    <w:rsid w:val="00F47782"/>
    <w:rsid w:val="00F60906"/>
    <w:rsid w:val="00F65C6D"/>
    <w:rsid w:val="00F72631"/>
    <w:rsid w:val="00F80B0A"/>
    <w:rsid w:val="00F85972"/>
    <w:rsid w:val="00F9413F"/>
    <w:rsid w:val="00FB0ECE"/>
    <w:rsid w:val="00FE297F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ASER 5750G</cp:lastModifiedBy>
  <cp:revision>14</cp:revision>
  <dcterms:created xsi:type="dcterms:W3CDTF">2016-03-28T11:24:00Z</dcterms:created>
  <dcterms:modified xsi:type="dcterms:W3CDTF">2016-03-29T05:32:00Z</dcterms:modified>
</cp:coreProperties>
</file>