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C2" w:rsidRDefault="00C839C2" w:rsidP="00C839C2">
      <w:r>
        <w:t>Математический тренажер «Цветные ладошки»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Цель: Формирование элементарных математических представлений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Задачи: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 xml:space="preserve">1. Развитие </w:t>
      </w:r>
      <w:proofErr w:type="spellStart"/>
      <w:r>
        <w:t>цветовосприятия</w:t>
      </w:r>
      <w:proofErr w:type="spellEnd"/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2. Развитие ориентировки в пространстве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3. Обучение счету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4. Развитие умения пользоваться схемами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5. Развитие памяти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6. Развитие моторики рук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Задания:</w:t>
      </w:r>
      <w:bookmarkStart w:id="0" w:name="_GoBack"/>
      <w:bookmarkEnd w:id="0"/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1. Сколько ладошек</w:t>
      </w:r>
      <w:proofErr w:type="gramStart"/>
      <w:r>
        <w:t>.</w:t>
      </w:r>
      <w:proofErr w:type="gramEnd"/>
      <w:r>
        <w:t xml:space="preserve"> </w:t>
      </w:r>
      <w:proofErr w:type="gramStart"/>
      <w:r>
        <w:t>ц</w:t>
      </w:r>
      <w:proofErr w:type="gramEnd"/>
      <w:r>
        <w:t>вета?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2. Сколько квадратов</w:t>
      </w:r>
      <w:proofErr w:type="gramStart"/>
      <w:r>
        <w:t>.</w:t>
      </w:r>
      <w:proofErr w:type="gramEnd"/>
      <w:r>
        <w:t xml:space="preserve"> </w:t>
      </w:r>
      <w:proofErr w:type="gramStart"/>
      <w:r>
        <w:t>ц</w:t>
      </w:r>
      <w:proofErr w:type="gramEnd"/>
      <w:r>
        <w:t>вета?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3. Сколько ладошек в ряду смотрит вверх?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4. Сколько ладошек в ряду смотрит вниз?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5. Сколько ладошек в ряду смотрит вправо?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6. Сколько ладошек в ряду смотрит влево?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7. На нас смотрит ладошка красного цвета в желтом квадрате, если сделать три шага вправо и три вниз, где мы окажемся?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8. Задай маршрут движения товарищу</w:t>
      </w:r>
    </w:p>
    <w:p w:rsidR="00C839C2" w:rsidRDefault="00C839C2" w:rsidP="00C839C2">
      <w:pPr>
        <w:spacing w:after="0"/>
        <w:contextualSpacing/>
      </w:pPr>
    </w:p>
    <w:p w:rsidR="00C839C2" w:rsidRDefault="00C839C2" w:rsidP="00C839C2">
      <w:pPr>
        <w:spacing w:after="0"/>
        <w:contextualSpacing/>
      </w:pPr>
      <w:r>
        <w:t>Пособие изготовлено из разноцветного цветного картона с помощью детских ручек</w:t>
      </w:r>
    </w:p>
    <w:p w:rsidR="00C839C2" w:rsidRDefault="00C839C2" w:rsidP="00C839C2">
      <w:pPr>
        <w:spacing w:after="0"/>
        <w:contextualSpacing/>
      </w:pPr>
    </w:p>
    <w:p w:rsidR="00C96500" w:rsidRDefault="00C839C2" w:rsidP="00C839C2">
      <w:pPr>
        <w:spacing w:after="0"/>
        <w:contextualSpacing/>
      </w:pPr>
      <w:r>
        <w:t>Математический тренажер «Цветные ладошки»</w:t>
      </w:r>
    </w:p>
    <w:p w:rsidR="00C839C2" w:rsidRDefault="00C839C2" w:rsidP="00C839C2">
      <w:r w:rsidRPr="00C839C2">
        <w:lastRenderedPageBreak/>
        <w:drawing>
          <wp:inline distT="0" distB="0" distL="0" distR="0">
            <wp:extent cx="4714875" cy="6362700"/>
            <wp:effectExtent l="0" t="0" r="9525" b="0"/>
            <wp:docPr id="1" name="Рисунок 1" descr="Математический тренажер «Цветные ладош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й тренажер «Цветные ладошк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C2"/>
    <w:rsid w:val="00C839C2"/>
    <w:rsid w:val="00C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>diakov.net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2015-10-25T03:50:00Z</dcterms:created>
  <dcterms:modified xsi:type="dcterms:W3CDTF">2015-10-25T03:53:00Z</dcterms:modified>
</cp:coreProperties>
</file>