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98" w:rsidRPr="00B44B98" w:rsidRDefault="00B44B98" w:rsidP="00B44B9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98">
        <w:rPr>
          <w:rFonts w:ascii="Times New Roman" w:hAnsi="Times New Roman" w:cs="Times New Roman"/>
          <w:b/>
          <w:sz w:val="24"/>
          <w:szCs w:val="24"/>
        </w:rPr>
        <w:t>ПРИЧИНЫ ВОЗНИКНОВЕНИЯ НЕУСПЕВАЕМОСТИ В МЛАДШЕМ ШКОЛЬНОМ ВОЗРАСТЕ.</w:t>
      </w:r>
    </w:p>
    <w:p w:rsidR="00B44B98" w:rsidRPr="00B44B98" w:rsidRDefault="00B44B98" w:rsidP="00B44B98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B44B98">
        <w:rPr>
          <w:rFonts w:ascii="Times New Roman" w:hAnsi="Times New Roman" w:cs="Times New Roman"/>
          <w:sz w:val="24"/>
          <w:szCs w:val="24"/>
        </w:rPr>
        <w:t xml:space="preserve"> Младший школьный возраст считается важным периодом яркого развития и лучшего преобразования познавательных процессов.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 этого возрастного периода обуславливает большие потенциальные возможности развития ребенка. Основные достижения этого возраста определены спецификой ведущей учебной деятельности, что является важным для последующих лет обучения: к концу младшего школьного возраста ребенок должен захотеть и научиться учиться и поверить в себя и свои силы.</w:t>
      </w:r>
    </w:p>
    <w:p w:rsidR="00B44B98" w:rsidRPr="00B44B98" w:rsidRDefault="00B44B98" w:rsidP="00B44B98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44B98">
        <w:rPr>
          <w:rFonts w:ascii="Times New Roman" w:hAnsi="Times New Roman" w:cs="Times New Roman"/>
          <w:sz w:val="24"/>
          <w:szCs w:val="24"/>
        </w:rPr>
        <w:t>: неуспеваемость, дети, школа, учебная деятельность.</w:t>
      </w:r>
    </w:p>
    <w:p w:rsidR="00B44B98" w:rsidRPr="00B44B98" w:rsidRDefault="00B44B98" w:rsidP="00B44B98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B98" w:rsidRPr="00B44B98" w:rsidRDefault="00B44B98" w:rsidP="00B44B98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bCs/>
          <w:sz w:val="24"/>
          <w:szCs w:val="24"/>
        </w:rPr>
        <w:t>Актуальность выбранной темы продиктована достигнутым у</w:t>
      </w:r>
      <w:proofErr w:type="spellStart"/>
      <w:proofErr w:type="gramStart"/>
      <w:r w:rsidRPr="00B44B98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proofErr w:type="gramEnd"/>
      <w:r w:rsidRPr="00B44B98">
        <w:rPr>
          <w:rFonts w:ascii="Times New Roman" w:hAnsi="Times New Roman" w:cs="Times New Roman"/>
          <w:bCs/>
          <w:sz w:val="24"/>
          <w:szCs w:val="24"/>
        </w:rPr>
        <w:t>внем</w:t>
      </w:r>
      <w:proofErr w:type="spellEnd"/>
      <w:r w:rsidRPr="00B44B98">
        <w:rPr>
          <w:rFonts w:ascii="Times New Roman" w:hAnsi="Times New Roman" w:cs="Times New Roman"/>
          <w:bCs/>
          <w:sz w:val="24"/>
          <w:szCs w:val="24"/>
        </w:rPr>
        <w:t xml:space="preserve"> общественного развития и его перспективами, которые выдвигают новые требования к процессу образования современного человека. Непременность преобразования системы школьного образования обоснована тенденцией снижения успеваемости учащихся начальных классов, которые хоть не имеют медицинского заключения, но демонстрируют выраженные трудности в обучении в школе. 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Цель данного исследования заключается выявление причин неуспеваемости младших школьников в ходе учебной деятельности.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 xml:space="preserve">Самая большая проблема для педагогов, психологов, родителей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конечно же самих неуспевающих младших школьников заключается в трудном усвоении программного материала. Если же в начальных классах у ребенка не сформировались навыки и желание учиться, то с каждым годом это будет нарастать, что приведет к проблемам в последующие годы. Поэтому чтобы трудности не перерастали в стабильную неуспеваемость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вовремя выявить причины возникновения и провести ее коррекцию. 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bCs/>
          <w:sz w:val="24"/>
          <w:szCs w:val="24"/>
        </w:rPr>
        <w:t xml:space="preserve">Зачастую школьники испытывают затруднения в овладении чтением, счетом, письмом, а так же в усвоении и понимании текстов. Эти трудности  возникают произвольно от различных причин. Протекание усвоение знаний в школе сталкивается с затруднениями, которые не относятся к недостаточному умственному развитию детей или к неверному методу обучения, скорее эти затруднения связаны с индивидуальными особенностями каждого ученика. В идеале эта проблема требует организации новой специальной методики обучения, которая будет учитывать </w:t>
      </w:r>
      <w:r w:rsidRPr="00B44B98">
        <w:rPr>
          <w:rFonts w:ascii="Times New Roman" w:hAnsi="Times New Roman" w:cs="Times New Roman"/>
          <w:sz w:val="24"/>
          <w:szCs w:val="24"/>
        </w:rPr>
        <w:t>индивидуальные особенности учащихся и техник их обучения.</w:t>
      </w:r>
    </w:p>
    <w:p w:rsidR="00B44B98" w:rsidRPr="00B44B98" w:rsidRDefault="00B44B98" w:rsidP="00B44B98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Чтобы говорить о проблеме исследования, необходимо ввести понятие школьной неуспеваемости.</w:t>
      </w:r>
      <w:r w:rsidRPr="00B44B98">
        <w:rPr>
          <w:sz w:val="24"/>
          <w:szCs w:val="24"/>
        </w:rPr>
        <w:t xml:space="preserve"> </w:t>
      </w:r>
      <w:r w:rsidRPr="00B44B98">
        <w:rPr>
          <w:rFonts w:ascii="Times New Roman" w:hAnsi="Times New Roman" w:cs="Times New Roman"/>
          <w:sz w:val="24"/>
          <w:szCs w:val="24"/>
        </w:rPr>
        <w:t xml:space="preserve">Школьная неуспеваемость является острой проблемой для начальных классов. Ее называют ранней неуспеваемостью, в отличие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поздней, которая появляется при переходе в средние классы. Всем известно, что в младшем школьном возрасте учебная деятельность является ведущей, которая определяет дифференциацию познавательных процессов и личностные изменения, но если в этом возрасте возникает </w:t>
      </w:r>
      <w:r w:rsidRPr="00B44B98">
        <w:rPr>
          <w:rFonts w:ascii="Times New Roman" w:hAnsi="Times New Roman" w:cs="Times New Roman"/>
          <w:sz w:val="24"/>
          <w:szCs w:val="24"/>
        </w:rPr>
        <w:lastRenderedPageBreak/>
        <w:t>ранняя неуспеваемость, то это влечет к возникновению широкого круга проблем, влияющих на развитие личности ребенка в целом [3].</w:t>
      </w:r>
    </w:p>
    <w:p w:rsidR="00B44B98" w:rsidRPr="00B44B98" w:rsidRDefault="00B44B98" w:rsidP="00B44B98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Полноценное проживание позитивных приобретений данного возраста, являются значимым основанием, на котором строиться дальнейшее развитие ребенка как активного субъекта познаний и деятельности. Основная задача взрослых в работе с младшими школьниками – создание подходящих условий для раскрытия и реализации возможностей детей с учетом индивидуальных особенностей.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 xml:space="preserve">Несмотря на различие причин, которые приводят к появлению школьной неуспеваемости, слабоуспевающие и неуспевающие школьники имеют достаточно много похожих черт, что позволяет создать единую типологию, то есть поделить детей на группы по основанию сходства некоторых особенностей. Отнесение неуспевающего школьника к той или иной типологической группе позволяет более четко и определенно организовать  пути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 работы с ним.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Чтобы не упрощать проблему неуспеваемости учащихся, заметим, что в ее основе лежит не одна причина, а множество, которые работают в комплексе. Бывает и так, что на одну причину неуспеваемости школьника накладываются новые, вторичные причины как следствие отставания в учебе. Эти причины носят разноплановый характер, потому что дети не всегда одинаково реагируют на свою неуспеваемость [1].</w:t>
      </w:r>
    </w:p>
    <w:p w:rsidR="00B44B98" w:rsidRPr="00B44B98" w:rsidRDefault="00B44B98" w:rsidP="00B44B98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191"/>
      <w:bookmarkEnd w:id="0"/>
      <w:r w:rsidRPr="00B44B98">
        <w:rPr>
          <w:rFonts w:ascii="Times New Roman" w:hAnsi="Times New Roman" w:cs="Times New Roman"/>
          <w:sz w:val="24"/>
          <w:szCs w:val="24"/>
        </w:rPr>
        <w:t xml:space="preserve">Как всем известно младший школьный возраст начинается с </w:t>
      </w:r>
      <w:proofErr w:type="spellStart"/>
      <w:proofErr w:type="gramStart"/>
      <w:r w:rsidRPr="00B44B9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6-7и заканчивается в 10-11 лет и выпадает на обучение в начальной школе. За этот период происходит развитие ребенка, как в психическом, так и психофизиологическом плане, что в дальнейшем дает возможность систематически обучаться в школе [2].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 xml:space="preserve">На первых этапах обучения младший школьный возраст характеризуется любознательностью, непосредственным интересом к окружающему, стремлением выполнить общественно значимую деятельность. Все это определяет положительное отношение к учебе и эмоциональное переживание из-за полученных оценок. Зачастую неудовлетворительные оценки могут довести ребенка до слез или истерики.  </w:t>
      </w:r>
    </w:p>
    <w:p w:rsidR="00B44B98" w:rsidRPr="00B44B98" w:rsidRDefault="00B44B98" w:rsidP="00B44B9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 xml:space="preserve">Кроме того, отношение к полученной оценке зависит от личностных особенностей ребенка, таких, как мотивация, взаимоотношения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взрослыми и сверстниками, характера самооценки и др. </w:t>
      </w:r>
    </w:p>
    <w:p w:rsidR="00B44B98" w:rsidRPr="00B44B98" w:rsidRDefault="00B44B98" w:rsidP="00B44B98">
      <w:pPr>
        <w:spacing w:line="288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Не умея достаточно хорошо разграничивать причины неуспеваемости, учителя обычно используют не интересный и неправильно подобранный набор средств оказания помощи отстающим ученикам. По существу все виды педагогической помощи можно свести к двум: организация дополнительных занятий, на которых применяются традиционные (как на уроке) методы обучения, и воздействие с помощью давления. Все эти меры не только неэффективны, но пагубно влияют на причину возникновения «болезни» неуспеваемости [1].</w:t>
      </w:r>
    </w:p>
    <w:p w:rsidR="00B44B98" w:rsidRPr="00B44B98" w:rsidRDefault="00B44B98" w:rsidP="00B44B98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Это исследование проводилось на базе школы, где принял участие 4 класс, который состоит  из 23 человек.</w:t>
      </w:r>
    </w:p>
    <w:p w:rsidR="00B44B98" w:rsidRPr="00B44B98" w:rsidRDefault="00B44B98" w:rsidP="00B44B98">
      <w:pPr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 был использован метод наблюдения за детьми на переменах и учебных занятиях, что позволило зафиксировать поведение школьников в обычных учебных ситуациях. Была проведена беседа с учителем изучаемого класса на предмет ознакомления с особенностями детей и уровнем их успеваемости. Также были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продиагностированы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 уровень школьной мотивации и отношение к учебе, состояние памяти, способность к обобщению, активность внимания и самоконтроля и выявила направленность на приобретение знаний школьников и проанализированы итоговые отметки школьников. Были использованы такие методики, как «Заучивание 10 слов» (автор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 А. Р.), «Исключение лишнего», «Пробы на внимание» (авторы П. Я. Гальперин и С. Л.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Кабыльницкая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), «Анкета для оценки школьной мотивации» (автор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Н.Лусканова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 xml:space="preserve">), «Направленность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приобретений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знаний» (авторы Е. П. Ильин, Н. А. </w:t>
      </w:r>
      <w:proofErr w:type="spellStart"/>
      <w:r w:rsidRPr="00B44B98">
        <w:rPr>
          <w:rFonts w:ascii="Times New Roman" w:hAnsi="Times New Roman" w:cs="Times New Roman"/>
          <w:sz w:val="24"/>
          <w:szCs w:val="24"/>
        </w:rPr>
        <w:t>Курдюкова</w:t>
      </w:r>
      <w:proofErr w:type="spellEnd"/>
      <w:r w:rsidRPr="00B44B98">
        <w:rPr>
          <w:rFonts w:ascii="Times New Roman" w:hAnsi="Times New Roman" w:cs="Times New Roman"/>
          <w:sz w:val="24"/>
          <w:szCs w:val="24"/>
        </w:rPr>
        <w:t>) (рис. 1)</w:t>
      </w:r>
    </w:p>
    <w:p w:rsidR="00B44B98" w:rsidRPr="00B44B98" w:rsidRDefault="00B44B98" w:rsidP="00B44B98">
      <w:pPr>
        <w:spacing w:line="288" w:lineRule="auto"/>
        <w:ind w:firstLine="540"/>
        <w:jc w:val="both"/>
        <w:rPr>
          <w:sz w:val="24"/>
          <w:szCs w:val="24"/>
        </w:rPr>
      </w:pPr>
      <w:r w:rsidRPr="00B44B98">
        <w:rPr>
          <w:noProof/>
          <w:sz w:val="24"/>
          <w:szCs w:val="24"/>
        </w:rPr>
        <w:drawing>
          <wp:inline distT="0" distB="0" distL="0" distR="0">
            <wp:extent cx="5305425" cy="3638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4B98" w:rsidRPr="00B44B98" w:rsidRDefault="00B44B98" w:rsidP="00B44B98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Рисунок 1. «Динамика наблюдения неуспеваемости младших школьников».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 xml:space="preserve">Исследование данной проблемы позволило раскрыть причины школьной неуспеваемости, которых на сегодняшний момент 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>. А именно: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- неподготовленность ребенка в школе;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- недостатки познавательной деятельности;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- недостатки развития мотивационной сферы ребенка;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- психофизиологические причины. К ним относят умственную отсталость; дефекты анализаторов (слуха, речи, моторики); педагогическую запущенность; слабую мотивационную сферу, слабую силу воли и лень;</w:t>
      </w:r>
    </w:p>
    <w:p w:rsidR="00B44B98" w:rsidRPr="00B44B98" w:rsidRDefault="00B44B98" w:rsidP="00B44B9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lastRenderedPageBreak/>
        <w:t>- социальные факторы;</w:t>
      </w:r>
    </w:p>
    <w:p w:rsidR="00B44B98" w:rsidRPr="00B44B98" w:rsidRDefault="00B44B98" w:rsidP="00B44B98">
      <w:pPr>
        <w:shd w:val="clear" w:color="auto" w:fill="FFFFFF"/>
        <w:tabs>
          <w:tab w:val="left" w:pos="567"/>
          <w:tab w:val="left" w:pos="709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- причины неуспеваемости, зависящие от учителя (слабое знание учителем предмета и методики его преподавания, неумение проявлять требовательность к учащимся, незнание индивидуальных особенностей учеников, плохую организацию их работы, неумение сочетать требовательность к ученику с уважением к его личности и т.д.).</w:t>
      </w:r>
    </w:p>
    <w:p w:rsidR="00B44B98" w:rsidRPr="00B44B98" w:rsidRDefault="00B44B98" w:rsidP="00B44B98">
      <w:pPr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 можно отметить, что трудности, возникающие в учебном процессе на начальном этапе, значительно мешают ребенку усваивать обязательную школьную программу.  Ведь именно на начальном этапе закладывается фундамент системы знаний, которые накапливаются каждый год, а так же в это время складываются умственные и практические операции, действия и навыки, без которых неосуществимо последующие обучение. Отсутствие этого фундамента, не овладение начальными знаниями и умениями приводит к излишним трудностям в овладении учебной программой средних классов, в результате чего, такие школьники нередко выпадают из процесса обучения. Поэтому важно организовать и проводить систематически работу с целью профилактики, предупреждения и преодоления проблемы школьной неуспеваемости. Ведь лишь при помощи целостной системы взаимодействия педагогов, психологов и самого ребенка, можно добиться успехов.</w:t>
      </w:r>
    </w:p>
    <w:p w:rsidR="00B44B98" w:rsidRPr="00B44B98" w:rsidRDefault="00B44B98" w:rsidP="00B44B9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44B98" w:rsidRPr="00B44B98" w:rsidRDefault="00B44B98" w:rsidP="00B44B98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Дубровина И. В. Рабочая книга школьного психолога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>М., 1991, с. 183-209.</w:t>
      </w:r>
    </w:p>
    <w:p w:rsidR="00B44B98" w:rsidRPr="00B44B98" w:rsidRDefault="00B44B98" w:rsidP="00B44B98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hAnsi="Times New Roman" w:cs="Times New Roman"/>
          <w:sz w:val="24"/>
          <w:szCs w:val="24"/>
        </w:rPr>
        <w:t>Монина Г., Панасюк Е. Тренинг взаимодействия с неуспевающим учеником</w:t>
      </w:r>
      <w:proofErr w:type="gramStart"/>
      <w:r w:rsidRPr="00B44B9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44B98">
        <w:rPr>
          <w:rFonts w:ascii="Times New Roman" w:hAnsi="Times New Roman" w:cs="Times New Roman"/>
          <w:sz w:val="24"/>
          <w:szCs w:val="24"/>
        </w:rPr>
        <w:t xml:space="preserve">Санкт-Петербург, 2010. - </w:t>
      </w:r>
      <w:r w:rsidRPr="00B44B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44B98">
        <w:rPr>
          <w:rFonts w:ascii="Times New Roman" w:hAnsi="Times New Roman" w:cs="Times New Roman"/>
          <w:sz w:val="24"/>
          <w:szCs w:val="24"/>
        </w:rPr>
        <w:t>. 13-19.</w:t>
      </w:r>
    </w:p>
    <w:p w:rsidR="00B44B98" w:rsidRPr="00B44B98" w:rsidRDefault="00B44B98" w:rsidP="00B44B98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98">
        <w:rPr>
          <w:rFonts w:ascii="Times New Roman" w:eastAsia="Calibri" w:hAnsi="Times New Roman" w:cs="Times New Roman"/>
          <w:sz w:val="24"/>
          <w:szCs w:val="24"/>
        </w:rPr>
        <w:t>Практическая психология образования; Учебное пособие 4-е изд. / Под редакцией И. В. Дубровиной — СПб</w:t>
      </w:r>
      <w:proofErr w:type="gramStart"/>
      <w:r w:rsidRPr="00B44B9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B44B98">
        <w:rPr>
          <w:rFonts w:ascii="Times New Roman" w:eastAsia="Calibri" w:hAnsi="Times New Roman" w:cs="Times New Roman"/>
          <w:sz w:val="24"/>
          <w:szCs w:val="24"/>
        </w:rPr>
        <w:t>Питер, 2004</w:t>
      </w:r>
      <w:r w:rsidRPr="00B44B98">
        <w:rPr>
          <w:rFonts w:ascii="Times New Roman" w:hAnsi="Times New Roman"/>
          <w:sz w:val="24"/>
          <w:szCs w:val="24"/>
        </w:rPr>
        <w:t>, с. 327-335.</w:t>
      </w:r>
    </w:p>
    <w:p w:rsidR="00000000" w:rsidRPr="00B44B98" w:rsidRDefault="00B44B98">
      <w:pPr>
        <w:rPr>
          <w:sz w:val="24"/>
          <w:szCs w:val="24"/>
          <w:lang w:val="en-US"/>
        </w:rPr>
      </w:pPr>
    </w:p>
    <w:sectPr w:rsidR="00000000" w:rsidRPr="00B44B98" w:rsidSect="009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4E3"/>
    <w:multiLevelType w:val="hybridMultilevel"/>
    <w:tmpl w:val="4F5A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B98"/>
    <w:rsid w:val="00B4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9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084282460136674"/>
          <c:y val="4.1237113402061855E-2"/>
          <c:w val="0.7872279789083817"/>
          <c:h val="0.599156806969809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проявление стабильной неуспеваемости</c:v>
                </c:pt>
              </c:strCache>
            </c:strRef>
          </c:tx>
          <c:spPr>
            <a:solidFill>
              <a:srgbClr val="9999FF"/>
            </a:solidFill>
            <a:ln w="1272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0%</c:formatCode>
                <c:ptCount val="3"/>
                <c:pt idx="0" formatCode="0.00%">
                  <c:v>0.26</c:v>
                </c:pt>
                <c:pt idx="1">
                  <c:v>0.30500000000000038</c:v>
                </c:pt>
                <c:pt idx="2" formatCode="0.00%">
                  <c:v>0.43000000000000038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 formatCode="0.00%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проявление слабой неуспеваемости</c:v>
                </c:pt>
              </c:strCache>
            </c:strRef>
          </c:tx>
          <c:spPr>
            <a:solidFill>
              <a:srgbClr val="993366"/>
            </a:solidFill>
            <a:ln w="1272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0%</c:formatCode>
                <c:ptCount val="3"/>
                <c:pt idx="0" formatCode="0.00%">
                  <c:v>0.26</c:v>
                </c:pt>
                <c:pt idx="1">
                  <c:v>0.30500000000000038</c:v>
                </c:pt>
                <c:pt idx="2" formatCode="0.00%">
                  <c:v>0.43000000000000038</c:v>
                </c:pt>
              </c:numCache>
            </c:numRef>
          </c:cat>
          <c:val>
            <c:numRef>
              <c:f>Sheet1!$B$3:$D$3</c:f>
              <c:numCache>
                <c:formatCode>0%</c:formatCode>
                <c:ptCount val="3"/>
                <c:pt idx="1">
                  <c:v>0.30500000000000038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неуспеваемость не выявлена</c:v>
                </c:pt>
              </c:strCache>
            </c:strRef>
          </c:tx>
          <c:spPr>
            <a:solidFill>
              <a:srgbClr val="FFFFCC"/>
            </a:solidFill>
            <a:ln w="1272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0%</c:formatCode>
                <c:ptCount val="3"/>
                <c:pt idx="0" formatCode="0.00%">
                  <c:v>0.26</c:v>
                </c:pt>
                <c:pt idx="1">
                  <c:v>0.30500000000000038</c:v>
                </c:pt>
                <c:pt idx="2" formatCode="0.00%">
                  <c:v>0.43000000000000038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2" formatCode="0.00%">
                  <c:v>0.43000000000000038</c:v>
                </c:pt>
              </c:numCache>
            </c:numRef>
          </c:val>
        </c:ser>
        <c:gapDepth val="0"/>
        <c:shape val="box"/>
        <c:axId val="86650240"/>
        <c:axId val="86656128"/>
        <c:axId val="0"/>
      </c:bar3DChart>
      <c:catAx>
        <c:axId val="86650240"/>
        <c:scaling>
          <c:orientation val="minMax"/>
        </c:scaling>
        <c:axPos val="b"/>
        <c:numFmt formatCode="0.00%" sourceLinked="1"/>
        <c:tickLblPos val="low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656128"/>
        <c:crosses val="autoZero"/>
        <c:auto val="1"/>
        <c:lblAlgn val="ctr"/>
        <c:lblOffset val="100"/>
        <c:tickLblSkip val="1"/>
        <c:tickMarkSkip val="1"/>
      </c:catAx>
      <c:valAx>
        <c:axId val="86656128"/>
        <c:scaling>
          <c:orientation val="minMax"/>
        </c:scaling>
        <c:axPos val="l"/>
        <c:majorGridlines>
          <c:spPr>
            <a:ln w="3182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650240"/>
        <c:crosses val="autoZero"/>
        <c:crossBetween val="between"/>
      </c:valAx>
      <c:spPr>
        <a:noFill/>
        <a:ln w="25457">
          <a:noFill/>
        </a:ln>
      </c:spPr>
    </c:plotArea>
    <c:legend>
      <c:legendPos val="b"/>
      <c:layout>
        <c:manualLayout>
          <c:xMode val="edge"/>
          <c:yMode val="edge"/>
          <c:x val="0.23806085280632594"/>
          <c:y val="0.75832818018166559"/>
          <c:w val="0.57175398633257968"/>
          <c:h val="0.19329896907216679"/>
        </c:manualLayout>
      </c:layout>
      <c:spPr>
        <a:noFill/>
        <a:ln w="3182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2016-03-16T10:10:00Z</dcterms:created>
  <dcterms:modified xsi:type="dcterms:W3CDTF">2016-03-16T10:14:00Z</dcterms:modified>
</cp:coreProperties>
</file>