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B5" w:rsidRPr="004D45A9" w:rsidRDefault="006A56B5" w:rsidP="004D45A9">
      <w:pPr>
        <w:jc w:val="center"/>
        <w:rPr>
          <w:b/>
          <w:sz w:val="32"/>
          <w:szCs w:val="32"/>
        </w:rPr>
      </w:pPr>
      <w:r w:rsidRPr="004D45A9">
        <w:rPr>
          <w:b/>
          <w:sz w:val="32"/>
          <w:szCs w:val="32"/>
        </w:rPr>
        <w:t>Интеллектуальное  развитие  на уроках русского языка.</w:t>
      </w:r>
    </w:p>
    <w:p w:rsidR="004D45A9" w:rsidRDefault="004D45A9" w:rsidP="004D45A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E0234">
        <w:rPr>
          <w:sz w:val="32"/>
          <w:szCs w:val="32"/>
        </w:rPr>
        <w:t xml:space="preserve">« Во всем нужна сноровка, закалка, тренировка». Слова этой песни как нельзя лучше передать мысль о том, что интеллект тоже  нуждается в тренировке. </w:t>
      </w:r>
    </w:p>
    <w:p w:rsidR="004D45A9" w:rsidRDefault="00AE0234" w:rsidP="004D45A9">
      <w:pPr>
        <w:spacing w:line="24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Термин «интеллект» появился в </w:t>
      </w:r>
      <w:r w:rsidR="00D63B32">
        <w:rPr>
          <w:sz w:val="32"/>
          <w:szCs w:val="32"/>
        </w:rPr>
        <w:t xml:space="preserve">глубокой древности. В последующие столетия менялось его значение, уточнялись функции, разновидности, составные элементы. </w:t>
      </w:r>
    </w:p>
    <w:p w:rsidR="004D45A9" w:rsidRDefault="00D63B32" w:rsidP="004D45A9">
      <w:pPr>
        <w:spacing w:line="24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Интеллектуальное развитие происходит на ранних этапах становления личности. Так, например, к 6 годам это развитие осуществляется на треть. Научные исследования последних лет свидетельствует о том, что каждой возрастной </w:t>
      </w:r>
      <w:r w:rsidR="00661DB2">
        <w:rPr>
          <w:sz w:val="32"/>
          <w:szCs w:val="32"/>
        </w:rPr>
        <w:t xml:space="preserve">ступени присуща своя готовность развитию тех или иных сторон интеллекта. Она задается наличием определенных физиологических и психологических предпосылок, способных обеспечить высокий результат при взаимодействии с благоприятными педагогическими условиями. </w:t>
      </w:r>
    </w:p>
    <w:p w:rsidR="004D45A9" w:rsidRDefault="00661DB2" w:rsidP="004D45A9">
      <w:pPr>
        <w:spacing w:line="24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Интелле</w:t>
      </w:r>
      <w:r w:rsidR="003F672C">
        <w:rPr>
          <w:sz w:val="32"/>
          <w:szCs w:val="32"/>
        </w:rPr>
        <w:t>кт –</w:t>
      </w:r>
      <w:r w:rsidR="008430DE">
        <w:rPr>
          <w:sz w:val="32"/>
          <w:szCs w:val="32"/>
        </w:rPr>
        <w:t xml:space="preserve"> это сложное  многоступенчатое                    </w:t>
      </w:r>
      <w:r>
        <w:rPr>
          <w:sz w:val="32"/>
          <w:szCs w:val="32"/>
        </w:rPr>
        <w:t>сочетание умений анализировать, синтезировать, выделять глав</w:t>
      </w:r>
      <w:r w:rsidR="003F672C">
        <w:rPr>
          <w:sz w:val="32"/>
          <w:szCs w:val="32"/>
        </w:rPr>
        <w:t xml:space="preserve">ное, </w:t>
      </w:r>
      <w:r w:rsidR="008430DE">
        <w:rPr>
          <w:sz w:val="32"/>
          <w:szCs w:val="32"/>
        </w:rPr>
        <w:t xml:space="preserve">  </w:t>
      </w:r>
      <w:r w:rsidR="003F672C">
        <w:rPr>
          <w:sz w:val="32"/>
          <w:szCs w:val="32"/>
        </w:rPr>
        <w:t xml:space="preserve">классифицировать и  </w:t>
      </w:r>
      <w:proofErr w:type="gramStart"/>
      <w:r w:rsidR="003F672C">
        <w:rPr>
          <w:sz w:val="32"/>
          <w:szCs w:val="32"/>
        </w:rPr>
        <w:t>природные</w:t>
      </w:r>
      <w:proofErr w:type="gramEnd"/>
      <w:r w:rsidR="003F672C">
        <w:rPr>
          <w:sz w:val="32"/>
          <w:szCs w:val="32"/>
        </w:rPr>
        <w:t xml:space="preserve"> данных ребенка.</w:t>
      </w:r>
    </w:p>
    <w:p w:rsidR="004D45A9" w:rsidRDefault="003F672C" w:rsidP="004D45A9">
      <w:pPr>
        <w:spacing w:line="24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Детям младшего школьного возраста присуща предрасположенность к языку. Они легко и охотно усваивают новые слова и речевые обороты, овладевают различными</w:t>
      </w:r>
      <w:r w:rsidR="008430DE">
        <w:rPr>
          <w:sz w:val="32"/>
          <w:szCs w:val="32"/>
        </w:rPr>
        <w:t xml:space="preserve"> лингвистическими конструкциями. Без особого труда у них формируются речевой слух, артикуляция. Однако предрасположенность к языку, сочетание благоприятных внутренних условий для  полноценного становления речи – явление временное.</w:t>
      </w:r>
      <w:r w:rsidR="00AF07AD">
        <w:rPr>
          <w:sz w:val="32"/>
          <w:szCs w:val="32"/>
        </w:rPr>
        <w:t xml:space="preserve"> Возможность быстрого овладения языковыми формами с годами явно уменьшается. Более того, если формирование речи по каким- либо причинам вовремя не осуществляется, то её развитие в последующем крайне затрудняется. </w:t>
      </w:r>
    </w:p>
    <w:p w:rsidR="004D45A9" w:rsidRDefault="00AF07AD" w:rsidP="004D45A9">
      <w:pPr>
        <w:spacing w:line="24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Аналогично развиваются восприятие, внимание, формы мышлени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наглядно –действенное, наглядно-образное, словесно-логическое. </w:t>
      </w:r>
    </w:p>
    <w:p w:rsidR="004D45A9" w:rsidRDefault="00AF1A72" w:rsidP="004D45A9">
      <w:pPr>
        <w:spacing w:line="24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Урок русского языка можно построить таким образом, что на каждом этапе урока в ходе изучения материала или закрепления возможно формировать и совершенствовать целый ряд интеллектуальных качеств личности. </w:t>
      </w:r>
      <w:proofErr w:type="gramStart"/>
      <w:r>
        <w:rPr>
          <w:sz w:val="32"/>
          <w:szCs w:val="32"/>
        </w:rPr>
        <w:t>Введение дополнительное лексики во время словарно-орфографической работы, увеличение масштаба использования пословиц, поговорок, фразеологических оборотов на разных этапах уроков, расширение объёма работы</w:t>
      </w:r>
      <w:r w:rsidR="00AE7EC4">
        <w:rPr>
          <w:sz w:val="32"/>
          <w:szCs w:val="32"/>
        </w:rPr>
        <w:t xml:space="preserve"> с понятиями и терминами, включение в содержание уроков различных видов текстов </w:t>
      </w:r>
      <w:proofErr w:type="spellStart"/>
      <w:r w:rsidR="00AE7EC4">
        <w:rPr>
          <w:sz w:val="32"/>
          <w:szCs w:val="32"/>
        </w:rPr>
        <w:t>воспитательно</w:t>
      </w:r>
      <w:proofErr w:type="spellEnd"/>
      <w:r w:rsidR="00AE7EC4">
        <w:rPr>
          <w:sz w:val="32"/>
          <w:szCs w:val="32"/>
        </w:rPr>
        <w:t>-познавательного характера способствуют расширению кругозора учащихся, углубляют знания об окружающем мире, благоприятствуют развитию реб</w:t>
      </w:r>
      <w:r w:rsidR="000C09D4">
        <w:rPr>
          <w:sz w:val="32"/>
          <w:szCs w:val="32"/>
        </w:rPr>
        <w:t xml:space="preserve">ёнка как личности, активизируют </w:t>
      </w:r>
      <w:r w:rsidR="00AE7EC4">
        <w:rPr>
          <w:sz w:val="32"/>
          <w:szCs w:val="32"/>
        </w:rPr>
        <w:t>умственную деятельность детей, дают возможность плодотворно использовать особенности младшего школьного возраста</w:t>
      </w:r>
      <w:proofErr w:type="gramEnd"/>
      <w:r w:rsidR="00AE7EC4">
        <w:rPr>
          <w:sz w:val="32"/>
          <w:szCs w:val="32"/>
        </w:rPr>
        <w:t xml:space="preserve"> </w:t>
      </w:r>
      <w:r w:rsidR="000C09D4">
        <w:rPr>
          <w:sz w:val="32"/>
          <w:szCs w:val="32"/>
        </w:rPr>
        <w:t xml:space="preserve">полноценного развития речевых способностей учащихся. </w:t>
      </w:r>
    </w:p>
    <w:p w:rsidR="004D45A9" w:rsidRDefault="000C09D4" w:rsidP="004D45A9">
      <w:pPr>
        <w:spacing w:line="24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 время проведения словарно-орфографической работы возможно увеличение учебной инициативы детей и усиление воздействия на их интеллект различными видами работ. Вот один из приёмов: поиск нового слова, связанный с работой по фонетике и повторением учебного материала </w:t>
      </w:r>
      <w:r w:rsidR="00ED58B1">
        <w:rPr>
          <w:sz w:val="32"/>
          <w:szCs w:val="32"/>
        </w:rPr>
        <w:t xml:space="preserve">«ПФБКТХЕШСРЧЁЩЗЦА». Задание: мысленно уберите буквы, обозначающие глухие согласные звуки в данной цепочке, и вы узнаете слово, с которым мы познакомимся. </w:t>
      </w:r>
    </w:p>
    <w:p w:rsidR="004D45A9" w:rsidRDefault="00ED58B1" w:rsidP="004D45A9">
      <w:pPr>
        <w:spacing w:line="24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Этот приём обеспечивает углубл</w:t>
      </w:r>
      <w:r w:rsidR="004D45A9">
        <w:rPr>
          <w:sz w:val="32"/>
          <w:szCs w:val="32"/>
        </w:rPr>
        <w:t xml:space="preserve">ение сосредоточенности внимания. </w:t>
      </w:r>
    </w:p>
    <w:p w:rsidR="00AE0234" w:rsidRDefault="007A7588" w:rsidP="004D45A9">
      <w:pPr>
        <w:spacing w:line="24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Второй приём заключается в уменьшении конкретных указаний учителя, помогающих учащимся искомое слово.</w:t>
      </w:r>
    </w:p>
    <w:tbl>
      <w:tblPr>
        <w:tblpPr w:leftFromText="180" w:rightFromText="180" w:vertAnchor="text" w:horzAnchor="margin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</w:tblGrid>
      <w:tr w:rsidR="004D45A9" w:rsidTr="004D45A9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75" w:type="dxa"/>
          </w:tcPr>
          <w:p w:rsidR="004D45A9" w:rsidRDefault="00D83FA2" w:rsidP="004D45A9">
            <w:pPr>
              <w:spacing w:line="24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  <w:p w:rsidR="004D45A9" w:rsidRDefault="004D45A9" w:rsidP="004D45A9">
            <w:pPr>
              <w:spacing w:line="240" w:lineRule="atLeast"/>
              <w:jc w:val="both"/>
              <w:rPr>
                <w:sz w:val="32"/>
                <w:szCs w:val="32"/>
              </w:rPr>
            </w:pPr>
          </w:p>
          <w:p w:rsidR="004D45A9" w:rsidRDefault="004D45A9" w:rsidP="004D45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3388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</w:tblGrid>
      <w:tr w:rsidR="004D45A9" w:rsidTr="004D45A9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05" w:type="dxa"/>
          </w:tcPr>
          <w:p w:rsidR="004D45A9" w:rsidRDefault="00D83FA2" w:rsidP="004D45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</w:tr>
    </w:tbl>
    <w:tbl>
      <w:tblPr>
        <w:tblpPr w:leftFromText="180" w:rightFromText="180" w:vertAnchor="text" w:tblpX="5209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</w:tblGrid>
      <w:tr w:rsidR="004D45A9" w:rsidTr="004D45A9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450" w:type="dxa"/>
          </w:tcPr>
          <w:p w:rsidR="004D45A9" w:rsidRDefault="00D83FA2" w:rsidP="004D45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</w:tr>
    </w:tbl>
    <w:p w:rsidR="004D45A9" w:rsidRDefault="004D45A9" w:rsidP="004D45A9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page" w:tblpX="4273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</w:tblGrid>
      <w:tr w:rsidR="004D45A9" w:rsidTr="004D45A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24" w:type="dxa"/>
          </w:tcPr>
          <w:p w:rsidR="004D45A9" w:rsidRDefault="00D83FA2" w:rsidP="004D45A9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</w:tr>
    </w:tbl>
    <w:tbl>
      <w:tblPr>
        <w:tblpPr w:leftFromText="180" w:rightFromText="180" w:vertAnchor="text" w:horzAnchor="page" w:tblpX="2608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"/>
      </w:tblGrid>
      <w:tr w:rsidR="004D45A9" w:rsidTr="004D45A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4" w:type="dxa"/>
          </w:tcPr>
          <w:p w:rsidR="004D45A9" w:rsidRDefault="00D83FA2" w:rsidP="004D45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"/>
      </w:tblGrid>
      <w:tr w:rsidR="00D83FA2" w:rsidTr="00D83FA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75" w:type="dxa"/>
          </w:tcPr>
          <w:p w:rsidR="00D83FA2" w:rsidRDefault="00D83FA2" w:rsidP="00D83FA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</w:tbl>
    <w:p w:rsidR="004D45A9" w:rsidRDefault="004D45A9" w:rsidP="004D45A9">
      <w:pPr>
        <w:ind w:firstLine="708"/>
        <w:jc w:val="both"/>
        <w:rPr>
          <w:sz w:val="32"/>
          <w:szCs w:val="32"/>
        </w:rPr>
      </w:pPr>
    </w:p>
    <w:tbl>
      <w:tblPr>
        <w:tblpPr w:leftFromText="180" w:rightFromText="180" w:vertAnchor="text" w:horzAnchor="page" w:tblpX="488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"/>
      </w:tblGrid>
      <w:tr w:rsidR="004D45A9" w:rsidTr="004D45A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" w:type="dxa"/>
          </w:tcPr>
          <w:p w:rsidR="004D45A9" w:rsidRDefault="00D83FA2" w:rsidP="004D45A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</w:tr>
    </w:tbl>
    <w:p w:rsidR="006A56B5" w:rsidRPr="006A56B5" w:rsidRDefault="004D45A9" w:rsidP="004D45A9">
      <w:pPr>
        <w:jc w:val="both"/>
        <w:rPr>
          <w:sz w:val="32"/>
          <w:szCs w:val="32"/>
        </w:rPr>
      </w:pPr>
      <w:r>
        <w:rPr>
          <w:sz w:val="32"/>
          <w:szCs w:val="32"/>
        </w:rPr>
        <w:br w:type="textWrapping" w:clear="all"/>
        <w:t xml:space="preserve"> </w:t>
      </w:r>
      <w:r w:rsidR="00AE0234">
        <w:rPr>
          <w:sz w:val="32"/>
          <w:szCs w:val="32"/>
        </w:rPr>
        <w:t xml:space="preserve">     </w:t>
      </w:r>
    </w:p>
    <w:p w:rsidR="00D83FA2" w:rsidRDefault="007A7588" w:rsidP="004D45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«Вы прочтёте слово, если найдёте прямоугольник с его первой буквой и установите последовательность соединения остальных  букв слова». </w:t>
      </w:r>
    </w:p>
    <w:p w:rsidR="00D83FA2" w:rsidRDefault="007A7588" w:rsidP="00D83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начальных классах для изучения нового учебного материала применяется частичн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поисковый метод- совместная поисковая деятельность учителя и учащихся при ознакомлении с новым правилом. Чётко сформулированные </w:t>
      </w:r>
      <w:r w:rsidR="005D01DB">
        <w:rPr>
          <w:sz w:val="28"/>
          <w:szCs w:val="28"/>
        </w:rPr>
        <w:t>вопросы учителя  чередуются с ответами учащихся таким образом, что в конце рассуждения</w:t>
      </w:r>
      <w:r w:rsidR="00D83FA2">
        <w:rPr>
          <w:sz w:val="28"/>
          <w:szCs w:val="28"/>
        </w:rPr>
        <w:t xml:space="preserve"> </w:t>
      </w:r>
      <w:r w:rsidR="005D01DB">
        <w:rPr>
          <w:sz w:val="28"/>
          <w:szCs w:val="28"/>
        </w:rPr>
        <w:t>- поиска ученики самостоятельно приходят к необходимому выводу</w:t>
      </w:r>
      <w:r w:rsidR="00D83FA2">
        <w:rPr>
          <w:sz w:val="28"/>
          <w:szCs w:val="28"/>
        </w:rPr>
        <w:t>.</w:t>
      </w:r>
      <w:r w:rsidR="005D01DB">
        <w:rPr>
          <w:sz w:val="28"/>
          <w:szCs w:val="28"/>
        </w:rPr>
        <w:t xml:space="preserve">  </w:t>
      </w:r>
    </w:p>
    <w:p w:rsidR="00D83FA2" w:rsidRDefault="005D01DB" w:rsidP="00D83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закреплении изученного материала  также можно использовать различные виды работ, которые формируют  определённые </w:t>
      </w:r>
      <w:r w:rsidR="00AA6EB8">
        <w:rPr>
          <w:sz w:val="28"/>
          <w:szCs w:val="28"/>
        </w:rPr>
        <w:t xml:space="preserve">наборы  интеллектуальных качеств и умений учащихся. </w:t>
      </w:r>
    </w:p>
    <w:p w:rsidR="006A56B5" w:rsidRDefault="00AA6EB8" w:rsidP="00D83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один из вариантов, который развивает наблюдательность, внимание, речевые способности, умение сосредотачиваться на нужном объекте, а также осуществлять операции сравнения и сопоставления. Тема « Большая буква в именах, отчествах, фамилиях». Написать в строчку те из них, которых   нет  в   правом столбике, найти лишнее. Обосновать ответ.</w:t>
      </w:r>
      <w:r w:rsidR="003F4DEC">
        <w:rPr>
          <w:sz w:val="28"/>
          <w:szCs w:val="28"/>
        </w:rPr>
        <w:t xml:space="preserve">                                   (</w:t>
      </w:r>
      <w:proofErr w:type="spellStart"/>
      <w:r w:rsidR="003F4DEC">
        <w:rPr>
          <w:sz w:val="28"/>
          <w:szCs w:val="28"/>
        </w:rPr>
        <w:t>М</w:t>
      </w:r>
      <w:proofErr w:type="gramStart"/>
      <w:r w:rsidR="003F4DEC">
        <w:rPr>
          <w:sz w:val="28"/>
          <w:szCs w:val="28"/>
        </w:rPr>
        <w:t>,м</w:t>
      </w:r>
      <w:proofErr w:type="spellEnd"/>
      <w:proofErr w:type="gramEnd"/>
      <w:r w:rsidR="003F4DEC">
        <w:rPr>
          <w:sz w:val="28"/>
          <w:szCs w:val="28"/>
        </w:rPr>
        <w:t>)</w:t>
      </w:r>
      <w:proofErr w:type="spellStart"/>
      <w:r w:rsidR="003F4DEC">
        <w:rPr>
          <w:sz w:val="28"/>
          <w:szCs w:val="28"/>
        </w:rPr>
        <w:t>аршак</w:t>
      </w:r>
      <w:proofErr w:type="spellEnd"/>
      <w:r w:rsidR="003F4DEC">
        <w:rPr>
          <w:sz w:val="28"/>
          <w:szCs w:val="28"/>
        </w:rPr>
        <w:t xml:space="preserve">         </w:t>
      </w:r>
      <w:r w:rsidR="00D83FA2">
        <w:rPr>
          <w:sz w:val="28"/>
          <w:szCs w:val="28"/>
        </w:rPr>
        <w:t>(</w:t>
      </w:r>
      <w:proofErr w:type="spellStart"/>
      <w:r w:rsidR="00D83FA2">
        <w:rPr>
          <w:sz w:val="28"/>
          <w:szCs w:val="28"/>
        </w:rPr>
        <w:t>М,м</w:t>
      </w:r>
      <w:proofErr w:type="spellEnd"/>
      <w:r w:rsidR="00D83FA2">
        <w:rPr>
          <w:sz w:val="28"/>
          <w:szCs w:val="28"/>
        </w:rPr>
        <w:t>)</w:t>
      </w:r>
      <w:proofErr w:type="spellStart"/>
      <w:r w:rsidR="00D83FA2">
        <w:rPr>
          <w:sz w:val="28"/>
          <w:szCs w:val="28"/>
        </w:rPr>
        <w:t>ихаил</w:t>
      </w:r>
      <w:proofErr w:type="spellEnd"/>
    </w:p>
    <w:p w:rsidR="003F4DEC" w:rsidRDefault="003F4DEC" w:rsidP="004D45A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,п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оэт</w:t>
      </w:r>
      <w:proofErr w:type="spellEnd"/>
      <w:r>
        <w:rPr>
          <w:sz w:val="28"/>
          <w:szCs w:val="28"/>
        </w:rPr>
        <w:t xml:space="preserve">   </w:t>
      </w:r>
      <w:r w:rsidR="00D83FA2">
        <w:rPr>
          <w:sz w:val="28"/>
          <w:szCs w:val="28"/>
        </w:rPr>
        <w:t xml:space="preserve">              (</w:t>
      </w:r>
      <w:proofErr w:type="spellStart"/>
      <w:r w:rsidR="00D83FA2">
        <w:rPr>
          <w:sz w:val="28"/>
          <w:szCs w:val="28"/>
        </w:rPr>
        <w:t>А,а</w:t>
      </w:r>
      <w:proofErr w:type="spellEnd"/>
      <w:r w:rsidR="00D83FA2">
        <w:rPr>
          <w:sz w:val="28"/>
          <w:szCs w:val="28"/>
        </w:rPr>
        <w:t>)гния</w:t>
      </w:r>
    </w:p>
    <w:p w:rsidR="00D83FA2" w:rsidRDefault="00D83FA2" w:rsidP="004D45A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арто</w:t>
      </w:r>
      <w:proofErr w:type="spellEnd"/>
      <w:r>
        <w:rPr>
          <w:sz w:val="28"/>
          <w:szCs w:val="28"/>
        </w:rPr>
        <w:t xml:space="preserve">              (</w:t>
      </w:r>
      <w:proofErr w:type="spellStart"/>
      <w:r>
        <w:rPr>
          <w:sz w:val="28"/>
          <w:szCs w:val="28"/>
        </w:rPr>
        <w:t>П,п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оэт</w:t>
      </w:r>
      <w:proofErr w:type="spellEnd"/>
    </w:p>
    <w:p w:rsidR="00D83FA2" w:rsidRDefault="00D83FA2" w:rsidP="004D45A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лексей</w:t>
      </w:r>
      <w:proofErr w:type="spellEnd"/>
      <w:r>
        <w:rPr>
          <w:sz w:val="28"/>
          <w:szCs w:val="28"/>
        </w:rPr>
        <w:t xml:space="preserve">         (</w:t>
      </w:r>
      <w:proofErr w:type="spellStart"/>
      <w:r>
        <w:rPr>
          <w:sz w:val="28"/>
          <w:szCs w:val="28"/>
        </w:rPr>
        <w:t>С,с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уриков</w:t>
      </w:r>
      <w:proofErr w:type="spellEnd"/>
    </w:p>
    <w:p w:rsidR="00D83FA2" w:rsidRDefault="00D83FA2" w:rsidP="004D45A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ородин</w:t>
      </w:r>
      <w:proofErr w:type="spellEnd"/>
      <w:r>
        <w:rPr>
          <w:sz w:val="28"/>
          <w:szCs w:val="28"/>
        </w:rPr>
        <w:t xml:space="preserve">        (</w:t>
      </w:r>
      <w:proofErr w:type="spellStart"/>
      <w:r>
        <w:rPr>
          <w:sz w:val="28"/>
          <w:szCs w:val="28"/>
        </w:rPr>
        <w:t>И,и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ванов</w:t>
      </w:r>
      <w:proofErr w:type="spellEnd"/>
    </w:p>
    <w:p w:rsidR="00D83FA2" w:rsidRDefault="00D83FA2" w:rsidP="004D45A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,р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епин</w:t>
      </w:r>
      <w:proofErr w:type="spellEnd"/>
      <w:r>
        <w:rPr>
          <w:sz w:val="28"/>
          <w:szCs w:val="28"/>
        </w:rPr>
        <w:t xml:space="preserve">             (</w:t>
      </w:r>
      <w:proofErr w:type="spellStart"/>
      <w:r>
        <w:rPr>
          <w:sz w:val="28"/>
          <w:szCs w:val="28"/>
        </w:rPr>
        <w:t>С,с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еменов</w:t>
      </w:r>
      <w:proofErr w:type="spellEnd"/>
    </w:p>
    <w:p w:rsidR="00D83FA2" w:rsidRDefault="00D83FA2" w:rsidP="004D45A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еменов</w:t>
      </w:r>
      <w:proofErr w:type="spellEnd"/>
      <w:r>
        <w:rPr>
          <w:sz w:val="28"/>
          <w:szCs w:val="28"/>
        </w:rPr>
        <w:t xml:space="preserve">         (</w:t>
      </w:r>
      <w:proofErr w:type="spellStart"/>
      <w:r>
        <w:rPr>
          <w:sz w:val="28"/>
          <w:szCs w:val="28"/>
        </w:rPr>
        <w:t>Б,б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орисов</w:t>
      </w:r>
      <w:proofErr w:type="spellEnd"/>
    </w:p>
    <w:p w:rsidR="00D83FA2" w:rsidRPr="006A56B5" w:rsidRDefault="00D83FA2" w:rsidP="004D45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своей работе использую материалы из таких книг, как Бакулина «Интеллектуальное развитие на уроках русского языка», рабочие тетради «Умники и умницы» (развитие познавательных способностей), сборник «Школьные олимпиады».</w:t>
      </w:r>
      <w:bookmarkStart w:id="0" w:name="_GoBack"/>
      <w:bookmarkEnd w:id="0"/>
    </w:p>
    <w:sectPr w:rsidR="00D83FA2" w:rsidRPr="006A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0F"/>
    <w:rsid w:val="000C09D4"/>
    <w:rsid w:val="003F4DEC"/>
    <w:rsid w:val="003F672C"/>
    <w:rsid w:val="0043520F"/>
    <w:rsid w:val="004D45A9"/>
    <w:rsid w:val="005D01DB"/>
    <w:rsid w:val="00661DB2"/>
    <w:rsid w:val="006A56B5"/>
    <w:rsid w:val="007A7588"/>
    <w:rsid w:val="008430DE"/>
    <w:rsid w:val="00AA6EB8"/>
    <w:rsid w:val="00AE0234"/>
    <w:rsid w:val="00AE7EC4"/>
    <w:rsid w:val="00AF07AD"/>
    <w:rsid w:val="00AF1A72"/>
    <w:rsid w:val="00D63B32"/>
    <w:rsid w:val="00D83FA2"/>
    <w:rsid w:val="00DF2B06"/>
    <w:rsid w:val="00E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9</cp:revision>
  <dcterms:created xsi:type="dcterms:W3CDTF">2012-08-07T10:39:00Z</dcterms:created>
  <dcterms:modified xsi:type="dcterms:W3CDTF">2012-09-05T03:38:00Z</dcterms:modified>
</cp:coreProperties>
</file>