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AF" w:rsidRPr="00DC4CA5" w:rsidRDefault="006105AF" w:rsidP="006105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6105AF" w:rsidRPr="00DC4CA5" w:rsidRDefault="006105AF" w:rsidP="006105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учреждение детский сад №2 р. п. Сосновка</w:t>
      </w:r>
    </w:p>
    <w:p w:rsidR="006105AF" w:rsidRDefault="006105AF" w:rsidP="006105AF">
      <w:pPr>
        <w:jc w:val="center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«Предметно – развивающая среда» (из опыта работы)</w:t>
      </w:r>
    </w:p>
    <w:p w:rsidR="006105AF" w:rsidRDefault="006105AF" w:rsidP="006105AF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6105AF" w:rsidRPr="001B1481" w:rsidRDefault="006105AF" w:rsidP="006105AF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Донских Л.М.</w:t>
      </w:r>
    </w:p>
    <w:p w:rsidR="006105AF" w:rsidRPr="00F51C93" w:rsidRDefault="006105AF" w:rsidP="00610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5AF" w:rsidRPr="00B85E93" w:rsidRDefault="006105AF" w:rsidP="00610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05AF" w:rsidRDefault="006105AF" w:rsidP="006105AF">
      <w:pPr>
        <w:spacing w:before="180" w:after="180" w:line="315" w:lineRule="atLeast"/>
        <w:ind w:firstLine="327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Default="006105AF" w:rsidP="006105AF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6105AF" w:rsidRPr="00D517F9" w:rsidRDefault="006105AF" w:rsidP="006105AF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2012год</w:t>
      </w:r>
    </w:p>
    <w:p w:rsidR="006105AF" w:rsidRDefault="006105AF" w:rsidP="001711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5AF" w:rsidRDefault="006105AF" w:rsidP="005C61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5AF" w:rsidRDefault="006105AF" w:rsidP="001711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154" w:rsidRDefault="00171154" w:rsidP="001711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Предметно – развивающая среда.</w:t>
      </w:r>
    </w:p>
    <w:p w:rsidR="00171154" w:rsidRPr="00B95238" w:rsidRDefault="00171154" w:rsidP="00171154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52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Существенное значение для реализации Программ ДОУ имеет организация окружающей среды. В соответствии с ФГТ дошкольного образования предметно – развивающая среда стала наиболее актуальной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развития творческой, активной, самостоятельной личности ребенка</w:t>
      </w:r>
      <w:r w:rsidRPr="00B952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Важно, чтобы в окружении ребенка находился стимулирующий его развитие материал трех типов: во-первых, использовавшийся в процессе специально организованного обучения; во-вторых, иной, но похожий и, в-третьих, «свободный», т.е. позволяющий ребенку применять усвоенные средства и способы познания в других обстоятельствах. В моей группе организованная предметная среда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 и т.д. Удачное решение, позволяющее использовать помещение группы наилучшим образом, представлено так называемым принципом комплексирования и свободного зонирования. </w:t>
      </w:r>
    </w:p>
    <w:p w:rsidR="00171154" w:rsidRPr="00B95238" w:rsidRDefault="00171154" w:rsidP="0017115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Проведя проблемный анализ предметно – развивающей среды в разновозрастной группе </w:t>
      </w:r>
      <w:proofErr w:type="spellStart"/>
      <w:r w:rsidRPr="00B952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общеразвивающей</w:t>
      </w:r>
      <w:proofErr w:type="spellEnd"/>
      <w:r w:rsidRPr="00B952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направленности от 2 до 4 лет, пришла к выводу:  </w:t>
      </w: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и количественный состав предметной и игровой среды нуждается в изменении.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 – развивающая среда в данной группе оборудована на 54%.</w:t>
      </w:r>
    </w:p>
    <w:p w:rsidR="00171154" w:rsidRPr="00B95238" w:rsidRDefault="00171154" w:rsidP="0017115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 проблема неэф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фективности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присутствует некоторая перенасыщенность в одном из направлений и недостаточность в другом, то есть наличие дисбаланса в оформлении и практическом применении оборудования и игр, используемых детьми.</w:t>
      </w:r>
    </w:p>
    <w:p w:rsidR="00171154" w:rsidRDefault="00171154" w:rsidP="0017115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возникло</w:t>
      </w: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противоречие: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предметно-развивающая среда, но она не отвечает в полной 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современным </w:t>
      </w:r>
      <w:r w:rsidRPr="00B9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федерального стандарта и не несёт той положительной роли в развитии детей, которую могла бы нести.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1154" w:rsidRPr="00623275" w:rsidRDefault="00171154" w:rsidP="0017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цель создания актуальной  развивающей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возрастной группе</w:t>
      </w: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способной  решить следующие задачи:</w:t>
      </w:r>
    </w:p>
    <w:p w:rsidR="00171154" w:rsidRPr="00623275" w:rsidRDefault="00171154" w:rsidP="0017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1.Организовать развивающую среду, способствующую эмоциональному благополучию детей с учетом их потребностей и интересов;</w:t>
      </w:r>
    </w:p>
    <w:p w:rsidR="00171154" w:rsidRPr="00623275" w:rsidRDefault="00171154" w:rsidP="0017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театрализованной);</w:t>
      </w:r>
    </w:p>
    <w:p w:rsidR="00171154" w:rsidRPr="00623275" w:rsidRDefault="00171154" w:rsidP="0017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комфортные условия пребывания воспитанников, приближенных к домашним;</w:t>
      </w:r>
    </w:p>
    <w:p w:rsidR="00171154" w:rsidRPr="00623275" w:rsidRDefault="00171154" w:rsidP="0017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сотрудничеству детей и взрослых для создания комфортной предметно-развивающей среды;</w:t>
      </w:r>
    </w:p>
    <w:p w:rsidR="00171154" w:rsidRDefault="00171154" w:rsidP="001711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риобщить дошкольников к активной предметно-преобразовательной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154" w:rsidRDefault="00171154" w:rsidP="00171154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 переходом на новые стандарты дошкольного образования,  </w:t>
      </w:r>
    </w:p>
    <w:p w:rsidR="00171154" w:rsidRDefault="00171154" w:rsidP="00171154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зуч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методическ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ую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литератур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также нормативны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документ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ы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регламентирующи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выбор оборудования, учебно-методических и игровых материа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лов, требований ФГТ к среде ДОУ, я приступила к пересмотру  организации среды. Большую роль в организации среды в группе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направленности от 6 до 7 лет оказало тесное сотрудничество с семьями воспитанников. </w:t>
      </w:r>
    </w:p>
    <w:p w:rsidR="00171154" w:rsidRPr="004A2B74" w:rsidRDefault="00171154" w:rsidP="00171154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Нам п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ходилось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выступать в качестве дизайнер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декоратор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кукольник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аов</w:t>
      </w:r>
      <w:proofErr w:type="spellEnd"/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портн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ых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художник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конструктор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психолог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мастеров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ых. Силами родителей пополнился уголок «Мы играем» сшитыми нарядами для кукол, постельными принадлежностями, вязаными изделиями, мебелью. За счет своих средств родители приобрели набор конструктора в уголок «Маленькие строители». Спортивный уголок пополнился различным нетрадиционным оборудованием: массажными ковриками, ребристой доской. Уголок краеведения пополнился предметами ряженья, энциклопедией. Уголок «Юные экологи» родители пополнили различными природными коллекциями. Большой вклад родители внесли в оформление уголка безопасности: сделали стойки для дорожных знаков, приобрели тетради по ОБЖ, оказали материальную помощь в приобретении развивающих игр. Совместно с родителями искали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удачные решения, позволяющие оптимально использовать ограниченное пространство детского сада. Зонирование помещений продума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ли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реши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ли: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материалы, стимулирующие развитие познавательных способностей,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должны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располага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ться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разных функциональных зонах.</w:t>
      </w:r>
    </w:p>
    <w:p w:rsidR="00171154" w:rsidRPr="005C3AC5" w:rsidRDefault="00171154" w:rsidP="00171154">
      <w:pPr>
        <w:spacing w:after="120" w:line="312" w:lineRule="atLeast"/>
        <w:jc w:val="both"/>
        <w:rPr>
          <w:rFonts w:ascii="inherit" w:hAnsi="inherit"/>
          <w:sz w:val="28"/>
          <w:szCs w:val="28"/>
        </w:rPr>
      </w:pP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Для этого в рамках группового пространства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были сформированы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разные </w:t>
      </w:r>
      <w:r>
        <w:rPr>
          <w:rFonts w:ascii="inherit" w:hAnsi="inherit"/>
          <w:sz w:val="28"/>
          <w:szCs w:val="28"/>
        </w:rPr>
        <w:t>игровые и развивающие центры</w:t>
      </w:r>
      <w:r>
        <w:rPr>
          <w:rFonts w:ascii="inherit" w:hAnsi="inherit" w:hint="eastAsia"/>
          <w:sz w:val="28"/>
          <w:szCs w:val="28"/>
        </w:rPr>
        <w:t>: «</w:t>
      </w:r>
      <w:r>
        <w:rPr>
          <w:rFonts w:ascii="inherit" w:hAnsi="inherit"/>
          <w:sz w:val="28"/>
          <w:szCs w:val="28"/>
        </w:rPr>
        <w:t>Мы играем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(игровой уголок),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Маленькие  строители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(уголок конструирования),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Мой маленький домик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(уголок уединения),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Мы – спортсмены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(спортивный),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Играем в театр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(театрализованный),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Талантливые пальчики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(уголок творчества),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Мир музыки и звуков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(музыкальный).,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Здравствуй, книжка!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(книжный уголок),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Юные экологи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(уголок </w:t>
      </w:r>
      <w:proofErr w:type="spellStart"/>
      <w:r>
        <w:rPr>
          <w:rFonts w:ascii="inherit" w:hAnsi="inherit"/>
          <w:sz w:val="28"/>
          <w:szCs w:val="28"/>
        </w:rPr>
        <w:t>природы</w:t>
      </w:r>
      <w:proofErr w:type="gramStart"/>
      <w:r>
        <w:rPr>
          <w:rFonts w:ascii="inherit" w:hAnsi="inherit"/>
          <w:sz w:val="28"/>
          <w:szCs w:val="28"/>
        </w:rPr>
        <w:t>,э</w:t>
      </w:r>
      <w:proofErr w:type="gramEnd"/>
      <w:r>
        <w:rPr>
          <w:rFonts w:ascii="inherit" w:hAnsi="inherit"/>
          <w:sz w:val="28"/>
          <w:szCs w:val="28"/>
        </w:rPr>
        <w:t>кспериментирования</w:t>
      </w:r>
      <w:proofErr w:type="spellEnd"/>
      <w:r>
        <w:rPr>
          <w:rFonts w:ascii="inherit" w:hAnsi="inherit"/>
          <w:sz w:val="28"/>
          <w:szCs w:val="28"/>
        </w:rPr>
        <w:t xml:space="preserve">),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Уголок безопасности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,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Мой край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(уголок краеведения), которые изменяются и пополняются в соответствии с тематической неделей, возрастными особенностями, способностями, интересами, </w:t>
      </w:r>
      <w:proofErr w:type="spellStart"/>
      <w:r>
        <w:rPr>
          <w:rFonts w:ascii="inherit" w:hAnsi="inherit"/>
          <w:sz w:val="28"/>
          <w:szCs w:val="28"/>
        </w:rPr>
        <w:t>гендерной</w:t>
      </w:r>
      <w:proofErr w:type="spellEnd"/>
      <w:r>
        <w:rPr>
          <w:rFonts w:ascii="inherit" w:hAnsi="inherit"/>
          <w:sz w:val="28"/>
          <w:szCs w:val="28"/>
        </w:rPr>
        <w:t xml:space="preserve"> принадлежностью</w:t>
      </w:r>
      <w:r w:rsidRPr="005C3AC5">
        <w:rPr>
          <w:rFonts w:ascii="inherit" w:hAnsi="inherit"/>
          <w:sz w:val="28"/>
          <w:szCs w:val="28"/>
        </w:rPr>
        <w:t xml:space="preserve"> </w:t>
      </w:r>
      <w:r>
        <w:rPr>
          <w:rFonts w:ascii="inherit" w:hAnsi="inherit"/>
          <w:sz w:val="28"/>
          <w:szCs w:val="28"/>
        </w:rPr>
        <w:t>детей и т.д.</w:t>
      </w:r>
    </w:p>
    <w:p w:rsidR="00171154" w:rsidRDefault="00171154" w:rsidP="00171154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итывая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санитарны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психолого-педагогически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требовани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я,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мебель и игровое оборудование в каждой группе устан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авливаю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так, что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бы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ребенок мог найти удобное и комфортное место для занятий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исходя из эмоционального состояния: достаточно удаленное от детей и взрослых или, наоборот, позволяющее ощущать тесный контакт с ними, или предусматривающее в равной мере контакт и свободу. С этой целью использу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различн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ую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мебель, котор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ая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легко передвига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тся. Правильно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подобранная и расставленная мебель, рационально использованное пространство групповой комнаты позволяют сэкономить место, создать уют и привнести "изюминку" в интерьер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групповой.</w:t>
      </w:r>
    </w:p>
    <w:p w:rsidR="00171154" w:rsidRDefault="00171154" w:rsidP="00171154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C3AC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Особое внимание уделя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</w:t>
      </w:r>
      <w:r w:rsidRPr="004A2B74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5C3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эстетическому оформлению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игровых центров</w:t>
      </w:r>
      <w:r w:rsidRPr="005C3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3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среда играет большую роль в формировании личностных качеств дошкольников. Ребенок находится в детском саду весь день и окружающая обстановка должна радовать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его, способствовать пробуждению положительных эмоций и воспитанию хорошего вкуса. В интерьере всех возрастных групп дел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 ставку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 "одомашнивание" предметной среды.</w:t>
      </w:r>
    </w:p>
    <w:p w:rsidR="00171154" w:rsidRDefault="00171154" w:rsidP="00171154">
      <w:pPr>
        <w:spacing w:after="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Большое значение отвожу оформлению коридоров. Все стенды оформляю в одном стиле в зависимости от названия группы. Так, в младшей группе уголки «Для вас, родители», «Я сам»,</w:t>
      </w:r>
      <w:r w:rsidRPr="002B12F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«С кисточкой в ладошке» (выставка творческих работ) были оформлены в форме бабочки, так как группа носит название «Бабочки». Так же были оформлены уголки «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Здоровейка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«ОБЖ», «Бабочки» (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фотогалерея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из жизни группы). В разновозрастной группе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направленности от 4 до 6 лет все уголки были оформлены в форме зонтиков, в группе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направленности от 6 до 7 лет – в форме грибка. </w:t>
      </w:r>
    </w:p>
    <w:p w:rsidR="00171154" w:rsidRPr="004A2B74" w:rsidRDefault="00171154" w:rsidP="00171154">
      <w:pPr>
        <w:spacing w:after="12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Таким образом,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за три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год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мне удалось пересмотреть и оборудовать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предметно – развивающ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ую среду,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соответств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ующую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требованиям нормативных документов и  до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70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%  ФГТ к Основной общеобразовательной программе.</w:t>
      </w:r>
    </w:p>
    <w:p w:rsidR="00171154" w:rsidRPr="004A2B74" w:rsidRDefault="00171154" w:rsidP="00171154">
      <w:pPr>
        <w:spacing w:after="12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ходе реализации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поставленных задач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заметно повыси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ся  уровень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моего 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профессионального мастерства по данной теме. К созданию предметной среды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было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привлечен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40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% родителей, что помо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гло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налаживанию взаимодействия с ними.</w:t>
      </w:r>
    </w:p>
    <w:p w:rsidR="00171154" w:rsidRDefault="00171154" w:rsidP="00171154">
      <w:pPr>
        <w:spacing w:after="120" w:line="312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Преимущество созданной среды в том, что появи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лась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оспитанники меньше конфликт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уют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дошкольников свидетельствует об их жизнерадостности, открытости, желании посещать детский сад.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начительно возрос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ла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продуктивность самостоятельной деятельности: в течение дня дети созда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ют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выполн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яют</w:t>
      </w:r>
      <w:r w:rsidRPr="004A2B7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много рисунков, поделок, рассказов, экспериментов, игровых импровизаций и т. д.</w:t>
      </w:r>
    </w:p>
    <w:p w:rsidR="00171154" w:rsidRDefault="00171154" w:rsidP="001711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7E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171154" w:rsidRDefault="00171154" w:rsidP="001711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0832" w:rsidRDefault="00050832"/>
    <w:sectPr w:rsidR="00050832" w:rsidSect="0005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54"/>
    <w:rsid w:val="00050832"/>
    <w:rsid w:val="00171154"/>
    <w:rsid w:val="001C5BCA"/>
    <w:rsid w:val="005C6132"/>
    <w:rsid w:val="006105AF"/>
    <w:rsid w:val="0081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6855</Characters>
  <Application>Microsoft Office Word</Application>
  <DocSecurity>0</DocSecurity>
  <Lines>57</Lines>
  <Paragraphs>16</Paragraphs>
  <ScaleCrop>false</ScaleCrop>
  <Company>О.А.О.Восток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2012-12-22T08:11:00Z</dcterms:created>
  <dcterms:modified xsi:type="dcterms:W3CDTF">2012-12-22T11:26:00Z</dcterms:modified>
</cp:coreProperties>
</file>