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D14" w:rsidRDefault="00617D14"/>
    <w:p w:rsidR="00617D14" w:rsidRDefault="00617D14" w:rsidP="0045726D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КАРТА ПРОФОРИЕНТАЦИИ</w:t>
      </w:r>
    </w:p>
    <w:p w:rsidR="00617D14" w:rsidRDefault="00617D14" w:rsidP="00617D14">
      <w:pPr>
        <w:jc w:val="both"/>
      </w:pPr>
    </w:p>
    <w:p w:rsidR="00617D14" w:rsidRDefault="00617D14" w:rsidP="00617D14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Аксубаевский р-н, МБОУ "</w:t>
      </w:r>
      <w:proofErr w:type="spellStart"/>
      <w:r>
        <w:rPr>
          <w:rFonts w:ascii="Times New Roman" w:hAnsi="Times New Roman" w:cs="Times New Roman"/>
          <w:sz w:val="32"/>
        </w:rPr>
        <w:t>Старосаврушская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</w:rPr>
        <w:t>основная</w:t>
      </w:r>
      <w:proofErr w:type="gramEnd"/>
      <w:r>
        <w:rPr>
          <w:rFonts w:ascii="Times New Roman" w:hAnsi="Times New Roman" w:cs="Times New Roman"/>
          <w:sz w:val="32"/>
        </w:rPr>
        <w:t xml:space="preserve"> общеобразовательная школа"</w:t>
      </w:r>
    </w:p>
    <w:p w:rsidR="00617D14" w:rsidRDefault="00617D14" w:rsidP="00617D14">
      <w:pPr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Дата прохождения: 21.10.2015</w:t>
      </w:r>
    </w:p>
    <w:p w:rsidR="0045726D" w:rsidRDefault="00617D14" w:rsidP="00617D14">
      <w:pPr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Количество человек, участвовавших в тестировании: </w:t>
      </w:r>
    </w:p>
    <w:p w:rsidR="00617D14" w:rsidRDefault="00617D14" w:rsidP="00617D14">
      <w:pPr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5</w:t>
      </w:r>
    </w:p>
    <w:p w:rsidR="0045726D" w:rsidRDefault="00617D14" w:rsidP="0045726D">
      <w:pPr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8 класс</w:t>
      </w:r>
    </w:p>
    <w:p w:rsidR="00617D14" w:rsidRPr="0045726D" w:rsidRDefault="00617D14" w:rsidP="0045726D">
      <w:pPr>
        <w:ind w:firstLine="709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24"/>
        </w:rPr>
        <w:t xml:space="preserve">Учащимися было пройдено тестирование, направленное на выявление профессиональных интересов. В карте представлены итоги тестирования. Рассмотрим наиболее подробно результаты диагностики. </w:t>
      </w:r>
    </w:p>
    <w:p w:rsidR="00617D14" w:rsidRDefault="00617D14" w:rsidP="00617D1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В нижеприведенной диаграмме отражены результаты предпочитаемых профессиональных интересов и склонностей: </w:t>
      </w:r>
    </w:p>
    <w:p w:rsidR="00617D14" w:rsidRDefault="00617D14" w:rsidP="00617D14">
      <w:pPr>
        <w:jc w:val="center"/>
      </w:pPr>
      <w:r>
        <w:rPr>
          <w:noProof/>
          <w:lang w:eastAsia="ru-RU"/>
        </w:rPr>
        <w:drawing>
          <wp:inline distT="0" distB="0" distL="0" distR="0" wp14:anchorId="19112386" wp14:editId="35631156">
            <wp:extent cx="5940425" cy="1663065"/>
            <wp:effectExtent l="0" t="0" r="317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17D14" w:rsidRDefault="00617D14" w:rsidP="00617D1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Как видно из диаграммы, сфера искусства занимает лидирующие позиции среди учащихся (1 человек из общего кол-ва).</w:t>
      </w:r>
    </w:p>
    <w:p w:rsidR="00617D14" w:rsidRDefault="00617D14" w:rsidP="00617D14">
      <w:pPr>
        <w:jc w:val="both"/>
        <w:rPr>
          <w:rFonts w:ascii="Times New Roman" w:hAnsi="Times New Roman" w:cs="Times New Roman"/>
          <w:sz w:val="24"/>
        </w:rPr>
      </w:pPr>
      <w:r w:rsidRPr="00617D14">
        <w:rPr>
          <w:rFonts w:ascii="Times New Roman" w:hAnsi="Times New Roman" w:cs="Times New Roman"/>
          <w:sz w:val="24"/>
        </w:rPr>
        <w:tab/>
        <w:t xml:space="preserve">К числу </w:t>
      </w:r>
      <w:proofErr w:type="gramStart"/>
      <w:r w:rsidRPr="00617D14">
        <w:rPr>
          <w:rFonts w:ascii="Times New Roman" w:hAnsi="Times New Roman" w:cs="Times New Roman"/>
          <w:sz w:val="24"/>
        </w:rPr>
        <w:t>доминирующих</w:t>
      </w:r>
      <w:proofErr w:type="gramEnd"/>
      <w:r w:rsidRPr="00617D14">
        <w:rPr>
          <w:rFonts w:ascii="Times New Roman" w:hAnsi="Times New Roman" w:cs="Times New Roman"/>
          <w:sz w:val="24"/>
        </w:rPr>
        <w:t xml:space="preserve"> можно отнести также такие направления, как: педагогика, физкультура, спорт.</w:t>
      </w:r>
    </w:p>
    <w:p w:rsidR="00617D14" w:rsidRDefault="00617D14" w:rsidP="00617D1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Стоит отметить, что среди восьмиклассников нет учеников, в сферу предпочитаемых интересов которых входит: биология, медицина, география, геология, легкая и пищевая промышленность, физика, техника, механика, обработка материалов, информационные технологии, психология, строительство, транспорт, авиация, морское дело, военные специальности, история, литература, лингвистика, журналистика, социология, право, юриспруденция, сфера обслуживания, математика, иностранные языки.</w:t>
      </w:r>
      <w:proofErr w:type="gramEnd"/>
    </w:p>
    <w:p w:rsidR="00617D14" w:rsidRDefault="00617D14" w:rsidP="00617D1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В школе встречаются ученики (1 челове</w:t>
      </w:r>
      <w:proofErr w:type="gramStart"/>
      <w:r>
        <w:rPr>
          <w:rFonts w:ascii="Times New Roman" w:hAnsi="Times New Roman" w:cs="Times New Roman"/>
          <w:sz w:val="24"/>
        </w:rPr>
        <w:t>к(</w:t>
      </w:r>
      <w:proofErr w:type="gramEnd"/>
      <w:r>
        <w:rPr>
          <w:rFonts w:ascii="Times New Roman" w:hAnsi="Times New Roman" w:cs="Times New Roman"/>
          <w:sz w:val="24"/>
        </w:rPr>
        <w:t>а)), у которых несколько предпочитаемых сфер деятельности. Это говорит о разносторонности учащегося, но данный факт может отразиться на сложности выбора профессии.</w:t>
      </w:r>
    </w:p>
    <w:p w:rsidR="00617D14" w:rsidRDefault="00617D14" w:rsidP="00617D1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В следующей диаграмме отражены результаты отрицаемых сфер деятельности:</w:t>
      </w:r>
    </w:p>
    <w:p w:rsidR="00617D14" w:rsidRDefault="00617D14" w:rsidP="00617D14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4948E05B" wp14:editId="43CAB8E3">
            <wp:extent cx="4465320" cy="14859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17D14" w:rsidRDefault="00617D14" w:rsidP="00617D1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Среди отрицаемых видов деятельности ведущие позиции занимают военные специальности.</w:t>
      </w:r>
    </w:p>
    <w:p w:rsidR="00617D14" w:rsidRPr="0045726D" w:rsidRDefault="00617D14" w:rsidP="00617D1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В результате тестирования выявлено негативное отношение к таким областям, как: математика, строительство.</w:t>
      </w:r>
    </w:p>
    <w:p w:rsidR="00617D14" w:rsidRDefault="00617D14" w:rsidP="00617D14">
      <w:pPr>
        <w:jc w:val="both"/>
        <w:rPr>
          <w:rFonts w:ascii="Times New Roman" w:hAnsi="Times New Roman" w:cs="Times New Roman"/>
          <w:sz w:val="24"/>
        </w:rPr>
      </w:pPr>
      <w:r w:rsidRPr="00617D14">
        <w:rPr>
          <w:rFonts w:ascii="Times New Roman" w:hAnsi="Times New Roman" w:cs="Times New Roman"/>
          <w:sz w:val="24"/>
        </w:rPr>
        <w:tab/>
      </w:r>
      <w:proofErr w:type="gramStart"/>
      <w:r w:rsidRPr="00617D14">
        <w:rPr>
          <w:rFonts w:ascii="Times New Roman" w:hAnsi="Times New Roman" w:cs="Times New Roman"/>
          <w:sz w:val="24"/>
        </w:rPr>
        <w:t>Следует отметить, что в 8 классах нет учеников, в поле отрицания которых: биология, медицина, география, геология, легкая и пищевая промышленность, физика, техника, механика, обработка материалов, информационные технологии, психология, транспорт, авиация, морское дело, история, литература, лингвистика, журналистика, социология, педагогика, право, юриспруденция, сфера обслуживания, иностранные языки, искусство, физкультура, спорт.</w:t>
      </w:r>
      <w:proofErr w:type="gramEnd"/>
      <w:r>
        <w:rPr>
          <w:rFonts w:ascii="Times New Roman" w:hAnsi="Times New Roman" w:cs="Times New Roman"/>
          <w:sz w:val="24"/>
        </w:rPr>
        <w:t xml:space="preserve"> Нужно отметить тот факт, что среди опрошенных есть ученики (2 челове</w:t>
      </w:r>
      <w:proofErr w:type="gramStart"/>
      <w:r>
        <w:rPr>
          <w:rFonts w:ascii="Times New Roman" w:hAnsi="Times New Roman" w:cs="Times New Roman"/>
          <w:sz w:val="24"/>
        </w:rPr>
        <w:t>к(</w:t>
      </w:r>
      <w:proofErr w:type="gramEnd"/>
      <w:r>
        <w:rPr>
          <w:rFonts w:ascii="Times New Roman" w:hAnsi="Times New Roman" w:cs="Times New Roman"/>
          <w:sz w:val="24"/>
        </w:rPr>
        <w:t>а)), у которых нет каких-либо отрицаемых сфер деятельности. Таким учащимся рекомендуется обратить внимание на предпочитаемые виды деятельности и, исходя из этого, осуществлять свой профессиональный выбор.</w:t>
      </w:r>
    </w:p>
    <w:p w:rsidR="00617D14" w:rsidRDefault="00617D14" w:rsidP="0045726D">
      <w:r>
        <w:rPr>
          <w:rFonts w:ascii="Times New Roman" w:hAnsi="Times New Roman" w:cs="Times New Roman"/>
          <w:sz w:val="24"/>
        </w:rPr>
        <w:t>Рассмотрим, как распределились результаты по типу профессии среди учащихся:</w:t>
      </w:r>
    </w:p>
    <w:p w:rsidR="00617D14" w:rsidRDefault="00617D14" w:rsidP="00617D1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Рассматривая результаты по степени</w:t>
      </w:r>
      <w:r w:rsidR="0045726D">
        <w:rPr>
          <w:noProof/>
          <w:lang w:eastAsia="ru-RU"/>
        </w:rPr>
        <w:drawing>
          <wp:inline distT="0" distB="0" distL="0" distR="0" wp14:anchorId="0C4440CB" wp14:editId="317650B0">
            <wp:extent cx="4175760" cy="192786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rFonts w:ascii="Times New Roman" w:hAnsi="Times New Roman" w:cs="Times New Roman"/>
          <w:sz w:val="24"/>
        </w:rPr>
        <w:t xml:space="preserve"> желания учащихся заниматься определенным видом деятельности, большинство опрошенных относится к типу:  «человек-природа». В профессиях данного типа определенный интерес проявляется к природе. Главным предметом труда являются растительные организмы, животные организмы, микроорганизмы. Это профессии, связанные с сельским хозяйством, пищевой промышленностью, медициной и научными исследованиями (биология, география).</w:t>
      </w:r>
    </w:p>
    <w:p w:rsidR="00617D14" w:rsidRDefault="00617D14" w:rsidP="00617D1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Исходя из степени способностей и возможностей, доминирующей сферой деятельности среди учащихся 9-х классов является направление: «человек-человек» – это профессии, которые предполагают общительность, развитую речь, умение сдерживать эмоции, способность находить общий язык с разными людьми, умение слушать. К ним можно отнести профессии менеджера, психолога, врача, продавца, парикмахера, социального работника, педагога.</w:t>
      </w:r>
    </w:p>
    <w:p w:rsidR="00617D14" w:rsidRPr="0045726D" w:rsidRDefault="00617D14" w:rsidP="0045726D">
      <w:r>
        <w:rPr>
          <w:rFonts w:ascii="Times New Roman" w:hAnsi="Times New Roman" w:cs="Times New Roman"/>
          <w:sz w:val="24"/>
        </w:rPr>
        <w:t>Рассмотрим, как распределились результаты по характеру труда:</w:t>
      </w:r>
    </w:p>
    <w:p w:rsidR="00617D14" w:rsidRDefault="00617D14" w:rsidP="00617D14">
      <w:pPr>
        <w:jc w:val="center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1DD9E318" wp14:editId="09B4F001">
            <wp:extent cx="3825240" cy="16383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End w:id="0"/>
    </w:p>
    <w:p w:rsidR="00617D14" w:rsidRDefault="00617D14" w:rsidP="00617D1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Результаты тестирования показывают, что склонности и способности по характеру труда у учащихся совпадают: большинство не только желают, но и могут выполнять исполнительские виды деятельности.</w:t>
      </w:r>
    </w:p>
    <w:p w:rsidR="00617D14" w:rsidRDefault="00617D14" w:rsidP="00617D1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Некоторые учащихся (1 челове</w:t>
      </w:r>
      <w:proofErr w:type="gramStart"/>
      <w:r>
        <w:rPr>
          <w:rFonts w:ascii="Times New Roman" w:hAnsi="Times New Roman" w:cs="Times New Roman"/>
          <w:sz w:val="24"/>
        </w:rPr>
        <w:t>к(</w:t>
      </w:r>
      <w:proofErr w:type="gramEnd"/>
      <w:r>
        <w:rPr>
          <w:rFonts w:ascii="Times New Roman" w:hAnsi="Times New Roman" w:cs="Times New Roman"/>
          <w:sz w:val="24"/>
        </w:rPr>
        <w:t>а)) могут одновременно быть задействованы в исполнительском и творческом видах деятельности.</w:t>
      </w:r>
    </w:p>
    <w:p w:rsidR="00617D14" w:rsidRPr="0045726D" w:rsidRDefault="00617D14" w:rsidP="0045726D">
      <w:r>
        <w:rPr>
          <w:rFonts w:ascii="Times New Roman" w:hAnsi="Times New Roman" w:cs="Times New Roman"/>
          <w:sz w:val="24"/>
        </w:rPr>
        <w:t>Интересно проследить результаты по выбору направления деятельности.</w:t>
      </w:r>
    </w:p>
    <w:p w:rsidR="00617D14" w:rsidRDefault="00617D14" w:rsidP="00617D14">
      <w:pPr>
        <w:jc w:val="center"/>
      </w:pPr>
      <w:r>
        <w:rPr>
          <w:noProof/>
          <w:lang w:eastAsia="ru-RU"/>
        </w:rPr>
        <w:drawing>
          <wp:inline distT="0" distB="0" distL="0" distR="0" wp14:anchorId="2A7932A0" wp14:editId="0F50144B">
            <wp:extent cx="4122420" cy="109728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17D14" w:rsidRDefault="00617D14" w:rsidP="00617D1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Учащимся из ранжированного списка было предложено непосредственно самим выбрать один, наиболее привлекательный вид деятельности. По итогам тестирования у 20% </w:t>
      </w:r>
      <w:proofErr w:type="gramStart"/>
      <w:r>
        <w:rPr>
          <w:rFonts w:ascii="Times New Roman" w:hAnsi="Times New Roman" w:cs="Times New Roman"/>
          <w:sz w:val="24"/>
        </w:rPr>
        <w:t>опрошенных</w:t>
      </w:r>
      <w:proofErr w:type="gramEnd"/>
      <w:r>
        <w:rPr>
          <w:rFonts w:ascii="Times New Roman" w:hAnsi="Times New Roman" w:cs="Times New Roman"/>
          <w:sz w:val="24"/>
        </w:rPr>
        <w:t xml:space="preserve"> объективный выбор (предпочтительные склонности, выявляемые в результате тестирования) совпадает с субъективным мнением учащегося. </w:t>
      </w:r>
    </w:p>
    <w:p w:rsidR="00617D14" w:rsidRPr="0045726D" w:rsidRDefault="00617D14" w:rsidP="0045726D">
      <w:r>
        <w:rPr>
          <w:rFonts w:ascii="Times New Roman" w:hAnsi="Times New Roman" w:cs="Times New Roman"/>
          <w:sz w:val="24"/>
        </w:rPr>
        <w:t>В следующей диаграмме представлены результаты тестирования, которые отражают наличие выраженных профессиональных склонностей учащихся.</w:t>
      </w:r>
    </w:p>
    <w:p w:rsidR="00617D14" w:rsidRDefault="00617D14" w:rsidP="00617D1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  <w:t>Профессиональные склонности</w:t>
      </w:r>
    </w:p>
    <w:p w:rsidR="00617D14" w:rsidRDefault="00617D14" w:rsidP="00617D14">
      <w:pPr>
        <w:jc w:val="center"/>
      </w:pPr>
      <w:r>
        <w:rPr>
          <w:noProof/>
          <w:lang w:eastAsia="ru-RU"/>
        </w:rPr>
        <w:drawing>
          <wp:inline distT="0" distB="0" distL="0" distR="0" wp14:anchorId="7CEBD4F1" wp14:editId="244A2BDC">
            <wp:extent cx="3726180" cy="142494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17D14" w:rsidRPr="0045726D" w:rsidRDefault="00617D14" w:rsidP="00617D1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Как видно из диаграммы, наиболее выраженный интерес учащиеся проявили к сфере сервиса и помощи. Рекомендуемый профиль обучения для этой г</w:t>
      </w:r>
      <w:r w:rsidR="0045726D">
        <w:rPr>
          <w:rFonts w:ascii="Times New Roman" w:hAnsi="Times New Roman" w:cs="Times New Roman"/>
          <w:sz w:val="24"/>
        </w:rPr>
        <w:t>руппы учащихся –  гуманитарный.</w:t>
      </w:r>
    </w:p>
    <w:p w:rsidR="00617D14" w:rsidRDefault="00617D14" w:rsidP="00617D1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Сервис и помощь</w:t>
      </w:r>
    </w:p>
    <w:tbl>
      <w:tblPr>
        <w:tblW w:w="9229" w:type="dxa"/>
        <w:tblInd w:w="7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3543"/>
        <w:gridCol w:w="3544"/>
      </w:tblGrid>
      <w:tr w:rsidR="00617D14" w:rsidTr="0045726D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17D14" w:rsidRPr="0045726D" w:rsidRDefault="00617D14" w:rsidP="0045726D">
            <w:pPr>
              <w:rPr>
                <w:rFonts w:ascii="Times New Roman" w:hAnsi="Times New Roman" w:cs="Times New Roman"/>
              </w:rPr>
            </w:pPr>
            <w:r w:rsidRPr="0045726D">
              <w:rPr>
                <w:rFonts w:ascii="Times New Roman" w:hAnsi="Times New Roman" w:cs="Times New Roman"/>
              </w:rPr>
              <w:t>Типы профессий: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17D14" w:rsidRPr="0045726D" w:rsidRDefault="00617D14" w:rsidP="0045726D">
            <w:pPr>
              <w:rPr>
                <w:rFonts w:ascii="Times New Roman" w:hAnsi="Times New Roman" w:cs="Times New Roman"/>
              </w:rPr>
            </w:pPr>
            <w:r w:rsidRPr="0045726D">
              <w:rPr>
                <w:rFonts w:ascii="Times New Roman" w:hAnsi="Times New Roman" w:cs="Times New Roman"/>
              </w:rPr>
              <w:t>Примеры профессий: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17D14" w:rsidRPr="0045726D" w:rsidRDefault="00617D14" w:rsidP="0045726D">
            <w:pPr>
              <w:rPr>
                <w:rFonts w:ascii="Times New Roman" w:hAnsi="Times New Roman" w:cs="Times New Roman"/>
              </w:rPr>
            </w:pPr>
            <w:r w:rsidRPr="0045726D">
              <w:rPr>
                <w:rFonts w:ascii="Times New Roman" w:hAnsi="Times New Roman" w:cs="Times New Roman"/>
              </w:rPr>
              <w:t>Необходимые качества:</w:t>
            </w:r>
          </w:p>
        </w:tc>
      </w:tr>
      <w:tr w:rsidR="00617D14" w:rsidTr="0045726D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17D14" w:rsidRPr="0045726D" w:rsidRDefault="00617D14" w:rsidP="0045726D">
            <w:pPr>
              <w:rPr>
                <w:rFonts w:ascii="Times New Roman" w:hAnsi="Times New Roman" w:cs="Times New Roman"/>
              </w:rPr>
            </w:pPr>
            <w:r w:rsidRPr="0045726D">
              <w:rPr>
                <w:rFonts w:ascii="Times New Roman" w:hAnsi="Times New Roman" w:cs="Times New Roman"/>
              </w:rPr>
              <w:t>люди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17D14" w:rsidRPr="0045726D" w:rsidRDefault="00617D14" w:rsidP="0045726D">
            <w:pPr>
              <w:rPr>
                <w:rFonts w:ascii="Times New Roman" w:hAnsi="Times New Roman" w:cs="Times New Roman"/>
              </w:rPr>
            </w:pPr>
            <w:r w:rsidRPr="0045726D">
              <w:rPr>
                <w:rFonts w:ascii="Times New Roman" w:hAnsi="Times New Roman" w:cs="Times New Roman"/>
              </w:rPr>
              <w:t>продавец, парикмахер, социальный работник, консультант, экскурсовод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17D14" w:rsidRPr="0045726D" w:rsidRDefault="00617D14" w:rsidP="0045726D">
            <w:pPr>
              <w:rPr>
                <w:rFonts w:ascii="Times New Roman" w:hAnsi="Times New Roman" w:cs="Times New Roman"/>
              </w:rPr>
            </w:pPr>
            <w:r w:rsidRPr="0045726D">
              <w:rPr>
                <w:rFonts w:ascii="Times New Roman" w:hAnsi="Times New Roman" w:cs="Times New Roman"/>
              </w:rPr>
              <w:t xml:space="preserve">желание быть полезным для общества, общительность, умение сдерживать эмоции, развитая речь, способность находить общий язык с </w:t>
            </w:r>
            <w:r w:rsidRPr="0045726D">
              <w:rPr>
                <w:rFonts w:ascii="Times New Roman" w:hAnsi="Times New Roman" w:cs="Times New Roman"/>
              </w:rPr>
              <w:lastRenderedPageBreak/>
              <w:t>разными людьми, умение слушать</w:t>
            </w:r>
          </w:p>
        </w:tc>
      </w:tr>
    </w:tbl>
    <w:p w:rsidR="00617D14" w:rsidRDefault="00617D14" w:rsidP="0045726D"/>
    <w:p w:rsidR="00617D14" w:rsidRDefault="00617D14" w:rsidP="00617D1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Подводя итоги, можно сделать вывод о том, что проведенное тестирование в области профориентации способствует самостоятельности и активности в построении профессионального плана учащихся 8-х классов.</w:t>
      </w:r>
    </w:p>
    <w:p w:rsidR="00617D14" w:rsidRDefault="00617D14" w:rsidP="00617D1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Исследование предпочитаемых и отрицаемых сфер деятельности, типов профессий, профессиональных склонностей учеников являются необходимыми элементами при формировании профильных классов. Изучение интересов учащихся снижает вероятность ошибки при выборе профиля обучения.</w:t>
      </w:r>
    </w:p>
    <w:p w:rsidR="00617D14" w:rsidRDefault="00617D14" w:rsidP="00617D1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Анализ картины субъективного и объективного выбора позволяет выявить процент опрошенных с противоречиями в желаниях и способностях к различным видам деятельности.</w:t>
      </w:r>
    </w:p>
    <w:p w:rsidR="00617D14" w:rsidRPr="0045726D" w:rsidRDefault="00617D14" w:rsidP="00617D1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Таким образом, использование результатов данного мониторинга позволяет реально повысить эффективность </w:t>
      </w:r>
      <w:proofErr w:type="spellStart"/>
      <w:r>
        <w:rPr>
          <w:rFonts w:ascii="Times New Roman" w:hAnsi="Times New Roman" w:cs="Times New Roman"/>
          <w:sz w:val="24"/>
        </w:rPr>
        <w:t>профориентационной</w:t>
      </w:r>
      <w:proofErr w:type="spellEnd"/>
      <w:r>
        <w:rPr>
          <w:rFonts w:ascii="Times New Roman" w:hAnsi="Times New Roman" w:cs="Times New Roman"/>
          <w:sz w:val="24"/>
        </w:rPr>
        <w:t xml:space="preserve"> работы в общеобразовательных учреждениях, оперативно отслеживать изменения в данной области, составлять рекомендации по планированию дальнейшей образовательной траектории.</w:t>
      </w:r>
    </w:p>
    <w:sectPr w:rsidR="00617D14" w:rsidRPr="0045726D" w:rsidSect="0045726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426" w:right="424" w:bottom="426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F1F" w:rsidRDefault="00F73F1F" w:rsidP="00617D14">
      <w:pPr>
        <w:spacing w:after="0" w:line="240" w:lineRule="auto"/>
      </w:pPr>
      <w:r>
        <w:separator/>
      </w:r>
    </w:p>
  </w:endnote>
  <w:endnote w:type="continuationSeparator" w:id="0">
    <w:p w:rsidR="00F73F1F" w:rsidRDefault="00F73F1F" w:rsidP="00617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D14" w:rsidRDefault="00617D1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D14" w:rsidRDefault="00617D1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D14" w:rsidRDefault="00617D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F1F" w:rsidRDefault="00F73F1F" w:rsidP="00617D14">
      <w:pPr>
        <w:spacing w:after="0" w:line="240" w:lineRule="auto"/>
      </w:pPr>
      <w:r>
        <w:separator/>
      </w:r>
    </w:p>
  </w:footnote>
  <w:footnote w:type="continuationSeparator" w:id="0">
    <w:p w:rsidR="00F73F1F" w:rsidRDefault="00F73F1F" w:rsidP="00617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D14" w:rsidRDefault="00617D1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D14" w:rsidRDefault="00617D1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D14" w:rsidRDefault="00617D14" w:rsidP="00617D14">
    <w:pPr>
      <w:pStyle w:val="a3"/>
      <w:jc w:val="center"/>
      <w:rPr>
        <w:b/>
        <w:sz w:val="24"/>
      </w:rPr>
    </w:pPr>
    <w:r>
      <w:rPr>
        <w:b/>
        <w:noProof/>
        <w:sz w:val="24"/>
        <w:lang w:eastAsia="ru-RU"/>
      </w:rPr>
      <w:drawing>
        <wp:anchor distT="0" distB="0" distL="114300" distR="114300" simplePos="0" relativeHeight="251659264" behindDoc="0" locked="0" layoutInCell="1" allowOverlap="1" wp14:anchorId="6FED5F73" wp14:editId="0073BE76">
          <wp:simplePos x="0" y="0"/>
          <wp:positionH relativeFrom="column">
            <wp:posOffset>5715000</wp:posOffset>
          </wp:positionH>
          <wp:positionV relativeFrom="paragraph">
            <wp:posOffset>0</wp:posOffset>
          </wp:positionV>
          <wp:extent cx="381000" cy="381000"/>
          <wp:effectExtent l="0" t="0" r="0" b="0"/>
          <wp:wrapNone/>
          <wp:docPr id="2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24"/>
        <w:lang w:eastAsia="ru-RU"/>
      </w:rPr>
      <w:drawing>
        <wp:anchor distT="0" distB="0" distL="114300" distR="114300" simplePos="0" relativeHeight="251658240" behindDoc="0" locked="0" layoutInCell="1" allowOverlap="1" wp14:anchorId="735E55C2" wp14:editId="050CE9B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04801" cy="301753"/>
          <wp:effectExtent l="0" t="0" r="0" b="3175"/>
          <wp:wrapNone/>
          <wp:docPr id="1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1" cy="3017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</w:rPr>
      <w:t>ГБУ «Республиканский центр мониторинга качества образования»</w:t>
    </w:r>
  </w:p>
  <w:p w:rsidR="00617D14" w:rsidRDefault="00617D14" w:rsidP="00617D14">
    <w:pPr>
      <w:pStyle w:val="a3"/>
      <w:jc w:val="center"/>
      <w:rPr>
        <w:b/>
        <w:sz w:val="24"/>
      </w:rPr>
    </w:pPr>
    <w:r>
      <w:rPr>
        <w:b/>
        <w:sz w:val="24"/>
      </w:rPr>
      <w:t>МБОУ «ЛИЦЕЙ № 110» Советского района г. Казани</w:t>
    </w:r>
  </w:p>
  <w:p w:rsidR="00617D14" w:rsidRDefault="00617D14" w:rsidP="00617D14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D14"/>
    <w:rsid w:val="0045726D"/>
    <w:rsid w:val="00617D14"/>
    <w:rsid w:val="00F7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7D14"/>
  </w:style>
  <w:style w:type="paragraph" w:styleId="a5">
    <w:name w:val="footer"/>
    <w:basedOn w:val="a"/>
    <w:link w:val="a6"/>
    <w:uiPriority w:val="99"/>
    <w:unhideWhenUsed/>
    <w:rsid w:val="00617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7D14"/>
  </w:style>
  <w:style w:type="paragraph" w:styleId="a7">
    <w:name w:val="Balloon Text"/>
    <w:basedOn w:val="a"/>
    <w:link w:val="a8"/>
    <w:uiPriority w:val="99"/>
    <w:semiHidden/>
    <w:unhideWhenUsed/>
    <w:rsid w:val="00457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72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7D14"/>
  </w:style>
  <w:style w:type="paragraph" w:styleId="a5">
    <w:name w:val="footer"/>
    <w:basedOn w:val="a"/>
    <w:link w:val="a6"/>
    <w:uiPriority w:val="99"/>
    <w:unhideWhenUsed/>
    <w:rsid w:val="00617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7D14"/>
  </w:style>
  <w:style w:type="paragraph" w:styleId="a7">
    <w:name w:val="Balloon Text"/>
    <w:basedOn w:val="a"/>
    <w:link w:val="a8"/>
    <w:uiPriority w:val="99"/>
    <w:semiHidden/>
    <w:unhideWhenUsed/>
    <w:rsid w:val="00457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72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hart" Target="charts/chart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Предпочитаемые сферы деятельности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Лист1!$A$3:$A$5</c:f>
              <c:strCache>
                <c:ptCount val="3"/>
                <c:pt idx="0">
                  <c:v>спорт</c:v>
                </c:pt>
                <c:pt idx="1">
                  <c:v>педагогика</c:v>
                </c:pt>
                <c:pt idx="2">
                  <c:v>искусство</c:v>
                </c:pt>
              </c:strCache>
            </c:strRef>
          </c:cat>
          <c:val>
            <c:numRef>
              <c:f>Лист1!$B$3:$B$5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10430848"/>
        <c:axId val="110476672"/>
      </c:barChart>
      <c:catAx>
        <c:axId val="1104308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10476672"/>
        <c:crosses val="autoZero"/>
        <c:auto val="1"/>
        <c:lblAlgn val="ctr"/>
        <c:lblOffset val="100"/>
        <c:noMultiLvlLbl val="0"/>
      </c:catAx>
      <c:valAx>
        <c:axId val="110476672"/>
        <c:scaling>
          <c:orientation val="minMax"/>
          <c:max val="1"/>
        </c:scaling>
        <c:delete val="1"/>
        <c:axPos val="b"/>
        <c:numFmt formatCode="General" sourceLinked="1"/>
        <c:majorTickMark val="none"/>
        <c:minorTickMark val="none"/>
        <c:tickLblPos val="nextTo"/>
        <c:crossAx val="110430848"/>
        <c:crosses val="autoZero"/>
        <c:crossBetween val="between"/>
      </c:valAx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  <a:extLst>
      <a:ext uri="{909E8E84-426E-40DD-AFC4-6F175D3DCCD1}">
        <a14:hiddenFill xmlns:a14="http://schemas.microsoft.com/office/drawing/2010/main">
          <a:solidFill>
            <a:sysClr val="window" lastClr="FFFFFF"/>
          </a:solidFill>
        </a14:hiddenFill>
      </a:ext>
      <a:ext uri="{91240B29-F687-4F45-9708-019B960494DF}">
        <a14:hiddenLine xmlns:a14="http://schemas.microsoft.com/office/drawing/2010/main" w="6350" cap="flat" cmpd="sng" algn="ctr">
          <a:solidFill>
            <a:sysClr val="windowText" lastClr="000000">
              <a:tint val="75000"/>
            </a:sysClr>
          </a:solidFill>
          <a:prstDash val="solid"/>
          <a:round/>
        </a14:hiddenLine>
      </a:ext>
    </a:extLst>
  </c:spPr>
  <c:txPr>
    <a:bodyPr/>
    <a:lstStyle/>
    <a:p>
      <a:pPr>
        <a:defRPr sz="1200" b="1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Лист1!$B$7</c:f>
              <c:strCache>
                <c:ptCount val="1"/>
                <c:pt idx="0">
                  <c:v>Отрицаемые сферы деятельности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Лист1!$A$8:$A$10</c:f>
              <c:strCache>
                <c:ptCount val="3"/>
                <c:pt idx="0">
                  <c:v>строительство</c:v>
                </c:pt>
                <c:pt idx="1">
                  <c:v>математика</c:v>
                </c:pt>
                <c:pt idx="2">
                  <c:v>военные специальности</c:v>
                </c:pt>
              </c:strCache>
            </c:strRef>
          </c:cat>
          <c:val>
            <c:numRef>
              <c:f>Лист1!$B$8:$B$10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14051712"/>
        <c:axId val="87105920"/>
      </c:barChart>
      <c:catAx>
        <c:axId val="1140517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87105920"/>
        <c:crosses val="autoZero"/>
        <c:auto val="1"/>
        <c:lblAlgn val="ctr"/>
        <c:lblOffset val="100"/>
        <c:noMultiLvlLbl val="0"/>
      </c:catAx>
      <c:valAx>
        <c:axId val="87105920"/>
        <c:scaling>
          <c:orientation val="minMax"/>
          <c:max val="1"/>
        </c:scaling>
        <c:delete val="1"/>
        <c:axPos val="b"/>
        <c:numFmt formatCode="General" sourceLinked="1"/>
        <c:majorTickMark val="none"/>
        <c:minorTickMark val="none"/>
        <c:tickLblPos val="nextTo"/>
        <c:crossAx val="114051712"/>
        <c:crosses val="autoZero"/>
        <c:crossBetween val="between"/>
      </c:valAx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  <a:extLst>
      <a:ext uri="{909E8E84-426E-40DD-AFC4-6F175D3DCCD1}">
        <a14:hiddenFill xmlns:a14="http://schemas.microsoft.com/office/drawing/2010/main">
          <a:solidFill>
            <a:sysClr val="window" lastClr="FFFFFF"/>
          </a:solidFill>
        </a14:hiddenFill>
      </a:ext>
      <a:ext uri="{91240B29-F687-4F45-9708-019B960494DF}">
        <a14:hiddenLine xmlns:a14="http://schemas.microsoft.com/office/drawing/2010/main" w="6350" cap="flat" cmpd="sng" algn="ctr">
          <a:solidFill>
            <a:sysClr val="windowText" lastClr="000000">
              <a:tint val="75000"/>
            </a:sysClr>
          </a:solidFill>
          <a:prstDash val="solid"/>
          <a:round/>
        </a14:hiddenLine>
      </a:ext>
    </a:extLst>
  </c:spPr>
  <c:txPr>
    <a:bodyPr/>
    <a:lstStyle/>
    <a:p>
      <a:pPr>
        <a:defRPr sz="1200" b="1"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Желания</c:v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Лист1!$A$13:$A$15</c:f>
              <c:strCache>
                <c:ptCount val="3"/>
                <c:pt idx="0">
                  <c:v>человек-человек</c:v>
                </c:pt>
                <c:pt idx="1">
                  <c:v>человек-худ. образ</c:v>
                </c:pt>
                <c:pt idx="2">
                  <c:v>человек-природа</c:v>
                </c:pt>
              </c:strCache>
            </c:strRef>
          </c:cat>
          <c:val>
            <c:numRef>
              <c:f>Лист1!$B$13:$B$15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ser>
          <c:idx val="1"/>
          <c:order val="1"/>
          <c:tx>
            <c:v>Возможности</c:v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Лист1!$A$13:$A$15</c:f>
              <c:strCache>
                <c:ptCount val="3"/>
                <c:pt idx="0">
                  <c:v>человек-человек</c:v>
                </c:pt>
                <c:pt idx="1">
                  <c:v>человек-худ. образ</c:v>
                </c:pt>
                <c:pt idx="2">
                  <c:v>человек-природа</c:v>
                </c:pt>
              </c:strCache>
            </c:strRef>
          </c:cat>
          <c:val>
            <c:numRef>
              <c:f>Лист1!$C$13:$C$15</c:f>
              <c:numCache>
                <c:formatCode>General</c:formatCode>
                <c:ptCount val="3"/>
                <c:pt idx="0">
                  <c:v>3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87132800"/>
        <c:axId val="87134592"/>
        <c:axId val="0"/>
      </c:bar3DChart>
      <c:catAx>
        <c:axId val="87132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87134592"/>
        <c:crosses val="autoZero"/>
        <c:auto val="1"/>
        <c:lblAlgn val="ctr"/>
        <c:lblOffset val="100"/>
        <c:noMultiLvlLbl val="0"/>
      </c:catAx>
      <c:valAx>
        <c:axId val="871345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8713280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  <a:extLst>
      <a:ext uri="{909E8E84-426E-40DD-AFC4-6F175D3DCCD1}">
        <a14:hiddenFill xmlns:a14="http://schemas.microsoft.com/office/drawing/2010/main">
          <a:solidFill>
            <a:sysClr val="window" lastClr="FFFFFF"/>
          </a:solidFill>
        </a14:hiddenFill>
      </a:ext>
      <a:ext uri="{91240B29-F687-4F45-9708-019B960494DF}">
        <a14:hiddenLine xmlns:a14="http://schemas.microsoft.com/office/drawing/2010/main" w="6350" cap="flat" cmpd="sng" algn="ctr">
          <a:solidFill>
            <a:sysClr val="windowText" lastClr="000000">
              <a:tint val="75000"/>
            </a:sysClr>
          </a:solidFill>
          <a:prstDash val="solid"/>
          <a:round/>
        </a14:hiddenLine>
      </a:ext>
    </a:extLst>
  </c:spPr>
  <c:txPr>
    <a:bodyPr/>
    <a:lstStyle/>
    <a:p>
      <a:pPr>
        <a:defRPr sz="1100" b="1"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3976534805659258E-2"/>
          <c:y val="0.10669434763277541"/>
          <c:w val="0.88950288086499152"/>
          <c:h val="0.40596503305939219"/>
        </c:manualLayout>
      </c:layout>
      <c:bar3DChart>
        <c:barDir val="col"/>
        <c:grouping val="clustered"/>
        <c:varyColors val="0"/>
        <c:ser>
          <c:idx val="0"/>
          <c:order val="0"/>
          <c:tx>
            <c:v>Желания</c:v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Лист1!$A$18:$A$20</c:f>
              <c:strCache>
                <c:ptCount val="3"/>
                <c:pt idx="0">
                  <c:v>комбинированный</c:v>
                </c:pt>
                <c:pt idx="1">
                  <c:v>творческий</c:v>
                </c:pt>
                <c:pt idx="2">
                  <c:v>исполнительский</c:v>
                </c:pt>
              </c:strCache>
            </c:strRef>
          </c:cat>
          <c:val>
            <c:numRef>
              <c:f>Лист1!$B$18:$B$20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3</c:v>
                </c:pt>
              </c:numCache>
            </c:numRef>
          </c:val>
        </c:ser>
        <c:ser>
          <c:idx val="1"/>
          <c:order val="1"/>
          <c:tx>
            <c:v>Возможности</c:v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Лист1!$A$18:$A$20</c:f>
              <c:strCache>
                <c:ptCount val="3"/>
                <c:pt idx="0">
                  <c:v>комбинированный</c:v>
                </c:pt>
                <c:pt idx="1">
                  <c:v>творческий</c:v>
                </c:pt>
                <c:pt idx="2">
                  <c:v>исполнительский</c:v>
                </c:pt>
              </c:strCache>
            </c:strRef>
          </c:cat>
          <c:val>
            <c:numRef>
              <c:f>Лист1!$C$18:$C$20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87155456"/>
        <c:axId val="87156992"/>
        <c:axId val="0"/>
      </c:bar3DChart>
      <c:catAx>
        <c:axId val="87155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87156992"/>
        <c:crosses val="autoZero"/>
        <c:auto val="1"/>
        <c:lblAlgn val="ctr"/>
        <c:lblOffset val="100"/>
        <c:noMultiLvlLbl val="0"/>
      </c:catAx>
      <c:valAx>
        <c:axId val="871569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8715545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3453378088695087"/>
          <c:y val="0.850421168284197"/>
          <c:w val="0.5309321768045927"/>
          <c:h val="0.14957883171580297"/>
        </c:manualLayout>
      </c:layout>
      <c:overlay val="0"/>
    </c:legend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  <a:extLst>
      <a:ext uri="{909E8E84-426E-40DD-AFC4-6F175D3DCCD1}">
        <a14:hiddenFill xmlns:a14="http://schemas.microsoft.com/office/drawing/2010/main">
          <a:solidFill>
            <a:sysClr val="window" lastClr="FFFFFF"/>
          </a:solidFill>
        </a14:hiddenFill>
      </a:ext>
      <a:ext uri="{91240B29-F687-4F45-9708-019B960494DF}">
        <a14:hiddenLine xmlns:a14="http://schemas.microsoft.com/office/drawing/2010/main" w="6350" cap="flat" cmpd="sng" algn="ctr">
          <a:solidFill>
            <a:sysClr val="windowText" lastClr="000000">
              <a:tint val="75000"/>
            </a:sysClr>
          </a:solidFill>
          <a:prstDash val="solid"/>
          <a:round/>
        </a14:hiddenLine>
      </a:ext>
    </a:extLst>
  </c:spPr>
  <c:txPr>
    <a:bodyPr/>
    <a:lstStyle/>
    <a:p>
      <a:pPr>
        <a:defRPr sz="1100" b="1"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Лист1!$B$22</c:f>
              <c:strCache>
                <c:ptCount val="1"/>
                <c:pt idx="0">
                  <c:v>Q200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Лист1!$A$23:$A$24</c:f>
              <c:strCache>
                <c:ptCount val="2"/>
                <c:pt idx="0">
                  <c:v>субъективный выбор соответствует результатам тестов</c:v>
                </c:pt>
                <c:pt idx="1">
                  <c:v>субъективный выбор не соответствует результатам тестов</c:v>
                </c:pt>
              </c:strCache>
            </c:strRef>
          </c:cat>
          <c:val>
            <c:numRef>
              <c:f>Лист1!$B$23:$B$24</c:f>
              <c:numCache>
                <c:formatCode>General</c:formatCode>
                <c:ptCount val="2"/>
                <c:pt idx="0">
                  <c:v>1</c:v>
                </c:pt>
                <c:pt idx="1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txPr>
        <a:bodyPr/>
        <a:lstStyle/>
        <a:p>
          <a:pPr>
            <a:defRPr sz="1000" b="0"/>
          </a:pPr>
          <a:endParaRPr lang="ru-RU"/>
        </a:p>
      </c:txPr>
    </c:legend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  <a:extLst>
      <a:ext uri="{909E8E84-426E-40DD-AFC4-6F175D3DCCD1}">
        <a14:hiddenFill xmlns:a14="http://schemas.microsoft.com/office/drawing/2010/main">
          <a:solidFill>
            <a:sysClr val="window" lastClr="FFFFFF"/>
          </a:solidFill>
        </a14:hiddenFill>
      </a:ext>
      <a:ext uri="{91240B29-F687-4F45-9708-019B960494DF}">
        <a14:hiddenLine xmlns:a14="http://schemas.microsoft.com/office/drawing/2010/main" w="6350" cap="flat" cmpd="sng" algn="ctr">
          <a:solidFill>
            <a:sysClr val="windowText" lastClr="000000">
              <a:tint val="75000"/>
            </a:sysClr>
          </a:solidFill>
          <a:prstDash val="solid"/>
          <a:round/>
        </a14:hiddenLine>
      </a:ext>
    </a:extLst>
  </c:spPr>
  <c:txPr>
    <a:bodyPr/>
    <a:lstStyle/>
    <a:p>
      <a:pPr>
        <a:defRPr sz="1200" b="1"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Кол-во человек</c:v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Лист1!$A$27:$A$33</c:f>
              <c:strCache>
                <c:ptCount val="7"/>
                <c:pt idx="0">
                  <c:v>Сервис и помощь</c:v>
                </c:pt>
                <c:pt idx="1">
                  <c:v>Управление и организация</c:v>
                </c:pt>
                <c:pt idx="2">
                  <c:v>Спорт</c:v>
                </c:pt>
                <c:pt idx="3">
                  <c:v>Технические устройства</c:v>
                </c:pt>
                <c:pt idx="4">
                  <c:v>Общение и взаимодействие</c:v>
                </c:pt>
                <c:pt idx="5">
                  <c:v>Природа</c:v>
                </c:pt>
                <c:pt idx="6">
                  <c:v>Художественное творчество</c:v>
                </c:pt>
              </c:strCache>
            </c:strRef>
          </c:cat>
          <c:val>
            <c:numRef>
              <c:f>Лист1!$B$27:$B$33</c:f>
              <c:numCache>
                <c:formatCode>General</c:formatCode>
                <c:ptCount val="7"/>
                <c:pt idx="0">
                  <c:v>4</c:v>
                </c:pt>
                <c:pt idx="1">
                  <c:v>3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87207936"/>
        <c:axId val="87210624"/>
        <c:axId val="0"/>
      </c:bar3DChart>
      <c:catAx>
        <c:axId val="87207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87210624"/>
        <c:crosses val="autoZero"/>
        <c:auto val="1"/>
        <c:lblAlgn val="ctr"/>
        <c:lblOffset val="100"/>
        <c:noMultiLvlLbl val="0"/>
      </c:catAx>
      <c:valAx>
        <c:axId val="872106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8720793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  <a:extLst>
      <a:ext uri="{909E8E84-426E-40DD-AFC4-6F175D3DCCD1}">
        <a14:hiddenFill xmlns:a14="http://schemas.microsoft.com/office/drawing/2010/main">
          <a:solidFill>
            <a:sysClr val="window" lastClr="FFFFFF"/>
          </a:solidFill>
        </a14:hiddenFill>
      </a:ext>
      <a:ext uri="{91240B29-F687-4F45-9708-019B960494DF}">
        <a14:hiddenLine xmlns:a14="http://schemas.microsoft.com/office/drawing/2010/main" w="6350" cap="flat" cmpd="sng" algn="ctr">
          <a:solidFill>
            <a:sysClr val="windowText" lastClr="000000">
              <a:tint val="75000"/>
            </a:sysClr>
          </a:solidFill>
          <a:prstDash val="solid"/>
          <a:round/>
        </a14:hiddenLine>
      </a:ext>
    </a:extLst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k. k</dc:creator>
  <cp:keywords/>
  <dc:description/>
  <cp:lastModifiedBy>Иришка</cp:lastModifiedBy>
  <cp:revision>3</cp:revision>
  <cp:lastPrinted>2016-01-12T20:11:00Z</cp:lastPrinted>
  <dcterms:created xsi:type="dcterms:W3CDTF">2015-12-10T07:18:00Z</dcterms:created>
  <dcterms:modified xsi:type="dcterms:W3CDTF">2016-01-12T20:13:00Z</dcterms:modified>
</cp:coreProperties>
</file>