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9" w:rsidRDefault="004B44DA" w:rsidP="004B4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DA">
        <w:rPr>
          <w:rFonts w:ascii="Times New Roman" w:hAnsi="Times New Roman" w:cs="Times New Roman"/>
          <w:b/>
          <w:sz w:val="28"/>
          <w:szCs w:val="28"/>
        </w:rPr>
        <w:t xml:space="preserve">Развитие представлений о величине предметов у детей </w:t>
      </w:r>
      <w:bookmarkStart w:id="0" w:name="_GoBack"/>
      <w:bookmarkEnd w:id="0"/>
      <w:r w:rsidRPr="004B44DA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посредством модульного оборудования.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– одно из основных математических понятий, возникшее в древности и подвергшееся в процессе длительного развития ряду обобщения.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понятие величины является непосредственным обобщением более конкретных понятий: длины, площади, объема, массы, скорости и т.д. Каждый конкретный род величин связан с определенным способом сравнения соответствующих свойств объектов. 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измерении всякого рода величин, так же как потребность в счете предметов, возникла в практической деятельности человека на заре человеческой цивилизации. Так же как для определения численности множеств, люди сравнивали различные множества, различные однородные величины, </w:t>
      </w:r>
      <w:r w:rsidR="002953C6"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определяя,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какая из сравниваемых величин больше, какая меньше. Эти сравнения еще не были измерениями. В дальнейшем процедура сравнения величин была усовершенствована. Одна какая-нибудь величина принималась за эталон, а другие величины того же рода (длины, площади, объемы, массы и т.п.) сравнивались с эталоном. Когда же люди овладели знаниями о числах и их свойствах, величине эталона стали приписывать число 1 и эталон стал называться единицей измерения. Цель измерения стала более определенной – оценить, сколько единиц содержится в измеряемой величине. Результат стал выражаться числом.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проблемой восприятия величины предметов, в той или иной мере, сталкиваются все педагоги, занимающиеся теорией математического развития дошкольников. 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правильной и полной характеристики любого предмета оценка величины имеет не меньшую значимость, чем оценка других его признаков. Умение выделить величину как свойство предмета и дать ей название необходимо не только для познания каждого предмета в отдельности, но и для понимания отношений между ними. Это оказывает существенное 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на формирование у детей более полных знаний об окружающей действительности.</w:t>
      </w:r>
    </w:p>
    <w:p w:rsidR="004B44DA" w:rsidRPr="004B44DA" w:rsidRDefault="004B44DA" w:rsidP="004B44D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величины предметов положительно влияет на умственное развитие ребенка, так как тесно связанно с развитием способности отождествления, распознания, сравнения, обобщения, подводит к пониманию величины как математического понятия и готовит к усвоению в школе соответствующего раздела математики.</w:t>
      </w:r>
    </w:p>
    <w:p w:rsidR="004B44DA" w:rsidRPr="004B44DA" w:rsidRDefault="004B44DA" w:rsidP="004B44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практике модульное оборудование применяются недостаточ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дети не проявляют к нему устой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чивого интереса. Возможно, причи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этого является то, что воспита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основное внимание уделяют содержанию лишь в игровой деятельности и мало используют интерес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для детей образовательную деятельность.</w:t>
      </w:r>
    </w:p>
    <w:p w:rsidR="004B44DA" w:rsidRPr="004B44DA" w:rsidRDefault="004B44DA" w:rsidP="004B44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обучения в детском саду заключается и в том, что содержание его не имеет предметного разделения, в основе которого ле</w:t>
      </w:r>
      <w:r w:rsidRPr="004B4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жит развитие представлений о величине предметов. </w:t>
      </w:r>
    </w:p>
    <w:p w:rsidR="008D3DB9" w:rsidRDefault="006D4426" w:rsidP="006D4426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D4426" w:rsidRPr="006D4426" w:rsidRDefault="006D4426" w:rsidP="006D4426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модульного оборудования на развитие представлений о величине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старшего </w:t>
      </w:r>
      <w:r w:rsidRPr="006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4426" w:rsidRDefault="006D4426" w:rsidP="006D4426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Восприятие величины дошкольниками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3DB9" w:rsidRDefault="008D3DB9" w:rsidP="006D442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26" w:rsidRPr="006D4426" w:rsidRDefault="006D4426" w:rsidP="006D442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величины как пространственного признака предмета связанно с восприятием – важнейшим сенсорным процессом, который направлен на познание и обследование объекта, раскрытие его особенностей. В этом процессе участвуют различные анализаторы: зрительный, слуховой, осязательно-двигательный, при чем двигательный анализатор играет ведущую роль во взаимной их работе, обеспечивая адекватное восприятие величины (как и других свой</w:t>
      </w:r>
      <w:proofErr w:type="gramStart"/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едметов) происходит путем установления сложных систем </w:t>
      </w:r>
      <w:r w:rsidR="002953C6"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анализаторных</w:t>
      </w:r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межанализаторных связей.</w:t>
      </w:r>
    </w:p>
    <w:p w:rsidR="006D4426" w:rsidRPr="006D4426" w:rsidRDefault="006D4426" w:rsidP="006D442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отражения величины нельзя рассматривать только как проблему восприятия. В равной степени она должна рассматриваться и как </w:t>
      </w:r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проблема мышления. Познание величины осуществляется, с одой стороны, на сенсорной основе, а с другой – опосредуется мышлением и речью. Адекватное восприятие величины зависит от опыта практического оперирования предметами, развития глазомера, включения в процесс восприятия слова, участия мыслительных процессов: сравнения, анализа, синтеза и др. </w:t>
      </w:r>
    </w:p>
    <w:p w:rsidR="006D4426" w:rsidRDefault="006D4426" w:rsidP="00492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восприятия величины у взрослого и ребенка общий. Однако даже у самых маленьких детей могут быть выработаны реакции на отношения между объектами по признаку величины</w:t>
      </w:r>
      <w:r w:rsid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самых элементарных знаний о величине необходимо сформировать конкретные представления о предметах и явлениях окружающего мира. Чувственный опыт восприятия и оценки величины начинает складываться уже в раннем детстве в результате установления связей между зрительными, осязательными, и двигательно-тактильными ощущениями от тех игрушек и предметов различных размеров, которыми оперирует малыш. Многократное восприятие объектов на разном расстоянии и в разном положении способствует  развитию константности восприятия.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правильно организованного сенсорного воспитания и педагогического руководства способность  воспринимать величину предмета начинает формироваться в раннем возрасте в процессе предметных действий. Но первичный опыт в умении различать величины долгое время носит локальный характер. 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прочно закрепляют признак величины за тем конкретным предметом, который им хорошо знаком: «Слон большой, а мышка маленькая». Они с трудом овладевают относительностью оценки величины.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успешно детьми определяются в предметах конкретные измерения при  непосредственном сравнении двух или более предметов.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 форма предмета, являясь его свойствами, воспринимаются различными анализаторами: зрительным, осязательным и мышечным. Если 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находится от нас в непосредственной близости, мы воспринимаем его размер, форму осязательно-двигательным или зрительным путем. Однако зрительное восприятие размера и формы предметов при удалении зависит от ряда условий: от расстояния, на котором находится предмет от воспринимающего; от положения предмета (в горизонтальном или вертикальном положении он находится при одном и том же угле зрения); восприятия и сравнение величины двух предметов зависит от того, на одинаковом или разном расстоянии они находятся от воспринимающего.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зрительного восприятия предмета на расстоянии участвуют не только зрение, но и движения мышц глаза.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этих разнообразных условий развитие восприятия размеров и формы предмета представляет собой сложный и длительный процесс.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мышечному чувству глаз подобно руке «ощупывает» предмет. Он функционирует в качестве измерительного прибора. «Измерителями» служат ощущения, возникающие на основе движения. Они помогают внести расчлененность и оформленность, которых восприятие неподвижного глаза не могло бы достичь.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движения глаза меняется в зависимости от того, какой предмет воспринимается: длинный или широкий, высокий или толстый, большой или маленький. Важную роль в процессе развития восприятия размера играют и ощущения, возникающие при осязании предмета руками. 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размера предмета осуществляется, с одной стороны, на основе чувственного восприятия, а с другой – на основе слова, обобщающего это восприятие.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Соизмерение предметов маленькими детьми вначале производится практическим путем - наложением  или  приложением предметов друг к другу; при соизмерении предметов на глаз этот прием становится непригодным.   Чтобы измерить, например, высоту дерева или длину забора на глаз, необходимо развитие глазоме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ра. Этому способствуют практические действия сравнения предметов. 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предметы характеризуются тремя измерениями (длиной, шириной, высотой). Оценивая размер каждого измерения, мы состав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ляем для себя характеристику размеров данного предмета </w:t>
      </w:r>
      <w:r w:rsidRPr="00492E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(широкий, но низкий шкаф, книжный шкаф уже буфета, все столы равны по высоте 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п.). О многих предметах мы говорим </w:t>
      </w:r>
      <w:r w:rsidRPr="00492E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толстый -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E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тонкий, 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в виду диаметр.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составить такую характеристику, необходимо уметь анализировать предметы, т. е. выделять соответствующие измерения в каждом отдельном предмете и устанавливать меж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ними размерные отношения. Каковы же особенности осознания трехмерности предметов детьми дошкольного возраста? Существует мнение о том, что и к концу дошкольного воз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 дети не овладевают пониманием трехмерности.</w:t>
      </w:r>
    </w:p>
    <w:p w:rsidR="00492E73" w:rsidRPr="00492E73" w:rsidRDefault="00492E73" w:rsidP="00492E7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многие исследования в настоящее время показали, что при условии обучения дети старшей и подготовительной групп безошибочно выполняют задание на выделение в предме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длины, ширины и высоты.</w:t>
      </w:r>
    </w:p>
    <w:p w:rsidR="008D3DB9" w:rsidRDefault="00492E73" w:rsidP="00492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четырех лет уже дифференцированно подходят к выбору предметов по большей длине или ширине, но при условии, если длина предмета превосходит ширину. Значительно труднее выделяется детьми высота предмета. Так, например, дети нахо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высокую башню, но среди коробок разных размеров, высота которых не бросается сразу в глаза, дети далеко не всегда на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ходят самую высокую, заявляя: «Здесь нет высокой». Следует отметить, что дети старшей группы так же часто испытывают при вы</w:t>
      </w: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полнении этого задания значительные затруднения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убеждает, что детям старшей и подготовительной групп требуется незначительный срок для овладения выделени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в предметах, имеющих форму прямоугольного параллелепи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педа, всех трех измерений. В результате обучения детей начинают интересовать поиски различных параметров в предметах, иг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рушках при разном пространственном положении. Особенно быстро и точно определяют дети длину и ширину предметов, и лишь показ высоты продолжает вызывать у них затруднения. Большую роль при нахождении измерений предмета играет дви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жение рукою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длине предмета или поперечное движение по ширине предмета, а также по вертикали при показе высоты предмета; это помогает детям </w:t>
      </w:r>
      <w:proofErr w:type="gramStart"/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точно </w:t>
      </w:r>
      <w:proofErr w:type="gramStart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</w:t>
      </w:r>
      <w:proofErr w:type="gramEnd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ширину и высоту предмета. Дети любят «экспериментиро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вать», придавая предметам разное положение и определяя параметры протяженности. Так, дети находят высоту, длину и шири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стоящей на столе коробки для карандашей. А затем, положив ее горизонтально, они вновь ищут ее длину, высоту, ширину, из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менившиеся в новом положении. Такие поиски превращаются в интересную игру. Этот интерес побуждает детей к сопоставле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и сравнению предметов на глаз (что выше и что ниже, что толще и что тоньше). 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слово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величина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непонятно многим детям, так как они редко слышат его. Когда внимание детей обращается на размер предмета, воспитатели предпочитают пользоваться словами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одинаковый, такой же,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многозначны (например, одинаковый по цвету, форме, величине), поэтому их следует дополнять словом, обозна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чающим признак, по которому сопоставляются предметы (найди - такой же по величине: длине, ширине, высоте и т. д.). Чаще всего дети по отношению к любым предметам употребляют слова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большой маленький.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означает, что в их словаре отсутствуют более конкретные определения. В отдельных случаях дети с разной степенью успешности употребляют их. Так, о шее жирафа  говорят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длинная, о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матрешке - 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толстая.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одни определения заменяются другими: вместо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тонкая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узкая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 Это связано с тем, что окружающие детей взрослые часто пользуются неточными словами для обозначения размера предметов.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в отношении целого ряда предметов правомерно говорить, как о больших или маленьких, поскольку изменяется весь объем предмета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(большой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маленький стул, большой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маленький  мяч, большой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маленький дом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т.д.),  но когда в отношении этих же предметов мы хотим подчеркнуть лишь какую-либо существенную сторону, то говорим: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купи высокую елку; ребенку нужен низкий стул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допущения в использовании слов в их относительном значении являются предпосылкой неточности, которая часто вызы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вает заведомо неправильные выражения: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большой (маленький) шнур, большая линейка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(вместо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длинная), большая пирамидка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(вместо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высокая), тонкая лента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(вместо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узкая)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 Поэтому, когда ребенок вслед за взрослыми пользуется такими общими словес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обозначениями величины предметов, как «большой - маленький» вместо конкретных «высокий», «низкий» и т.д., он, хотя и видит отличия в величине предметов, неточно отражает это в речи. Леушина А.М. считает, что не учитывается и другой весьма важный фактор в распозна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вании размеров - это относительный характер данного понятия.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Длинный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короткий, широкий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узкий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парамет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 - понятия относительные, поэтому они могут быть </w:t>
      </w:r>
      <w:r w:rsidRPr="008D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</w:t>
      </w:r>
      <w:r w:rsidRPr="008D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ны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основе их сравнения, сопоставления размеров двух предметов. Чтобы познакомить детей, со словом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длинный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короткий, </w:t>
      </w:r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значение понятия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длиннее 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короче.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показывают многие исследования (Л. А. Венгер, Е. В. Проскура, Р. Л. Березина и другие), только выбор на основе сравнения обеспечивает дифференцировку раз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параметров протяженности. Этот выбор постепенно дол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 усложняться: выбор из двух предметов заменяется выбором из трех </w:t>
      </w:r>
      <w:r w:rsidRPr="008D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более, что в конечном итоге подводит детей к пони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манию последовательности в уменьшении (увеличении) того или иного параметра протяженности и пониманию относитель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размеров. При правильном обучении дети начинают ус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 упорядочивать предметы по их размерам.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Расставляя в ряд предметы по возрастанию (убыванию) того или иного параметра, дети усваивают порядковые отношения по аналогии с взаимно-обратными отношениями между смежными числами в деятельности счета. Однако как восприятие простей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отношений двух объектов, так и овладение отношениями ряда требует обучения, что убедительно показано в ряде иссле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дований. Столяр, исходя из особенностей детских представлений о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величине предметов, предлагает строить педагогическую работу в определенной после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довательности.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формировать представление о величине как прост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ранственном признаке предмета. Воспитатель детей выделять данный признак наряду с другими, пользуясь специальными приемами об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следования: приложением и наложением, Практически сравнивая (соизмеряя) контрастные и одинаковые по величине предметы, малыши должны устанавливать отношения «равенства - неравенства». А ре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 сравнения отражать в речи с помощью прилагатель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ных: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длиннее, короче, одинаковые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(равные по длине),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шире, уже, одинаковые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(равные по ширине),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выше, ниже, одинаковые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(рав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по высоте), </w:t>
      </w:r>
      <w:r w:rsidRPr="008D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больше, меньше, одинаковые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(равные по величине) и т.д. Таким образом, Столяр первоначально предусматривает лишь попарное сравнение предметов по одному признаку.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перейти к формированию представлений о трех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мерности предметов. С этой целью дети определяют длину, ширину, высоту у предметов, занимающих относительно постоянное положение в пространстве (например, предметы мебели), а затем и у других предметов (деталей строительного материала, конструктив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поделок и т. п.). Выделение и определение трех измерений проводят при сравнении предметов разного объема. В результате дети приходят к заключению, что большими или меньшими предметы на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зываются в зависимости от размера всех трех измерений.</w:t>
      </w:r>
    </w:p>
    <w:p w:rsid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врученный ребенку образец должен играть роль этало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для сравнения с ним других объектов; служить мерой изме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рения линейных величин. Поэтому, весьма важно, чтобы ребе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и воспринял этот эталон как меру измерения. Для это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надо предложить детям самим создать такую мерку (обра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зец), которая служила бы опосредованным звеном для сра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внения.</w:t>
      </w:r>
    </w:p>
    <w:p w:rsidR="008D3DB9" w:rsidRDefault="00492E73" w:rsidP="008D3DB9">
      <w:pPr>
        <w:shd w:val="clear" w:color="auto" w:fill="FFFFFF"/>
        <w:spacing w:line="360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6B49" w:rsidRDefault="00A46B49" w:rsidP="008D3DB9">
      <w:pPr>
        <w:shd w:val="clear" w:color="auto" w:fill="FFFFFF"/>
        <w:spacing w:line="360" w:lineRule="auto"/>
        <w:ind w:right="-7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8D3DB9" w:rsidRPr="008D3DB9" w:rsidRDefault="008D3DB9" w:rsidP="008D3DB9">
      <w:pPr>
        <w:shd w:val="clear" w:color="auto" w:fill="FFFFFF"/>
        <w:spacing w:line="360" w:lineRule="auto"/>
        <w:ind w:right="-7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 xml:space="preserve">Модульное оборудование как основа в </w:t>
      </w:r>
      <w:r w:rsidRPr="008D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ознакомлении де</w:t>
      </w:r>
      <w:r w:rsidRPr="008D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тей с величиной предметов</w:t>
      </w:r>
      <w:r w:rsidR="0029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группы меняется в зависимости от возрастных особенностей детей, периода обучения, образовательной программы. Если в группе больше мальчиков, необходимо оборудовать ее конструкторами, кубиками, машинами, что позволит детям строить дома, мосты, арки, гаражи не только на столе, но и на полу. Если больше девочек, чаще нужно организовывать игры в «семью», «больницу», «магазин», выделяя для этого большую часть группы. Важно помнить, что ребенок не пребывает в среде, а преодолевает, «перерастает» ее, постоянно меняется, тем самым меняется в восприятии и его окружение.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может быть постоянной, создаваемой на длительный срок: оформление кабинетов, залов (музыкального, физкультурного), и более динамичной, например, оформление зала, групповой, вестибюля для какого-то конкретного праздника, досугового мероприятия, на время постановки сказки.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более динамична развивающая среда многих занятий. Микросреда, включающая оформление конкретного занятия, определяется его содержанием и специфична для каждого из них. Она, безусловно, должна быть эстетичной, развивающей и разносторонней, побуждать детей к содержательному духовному общению.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полифункциональности предметного мира реализуется с помощью различ</w:t>
      </w:r>
      <w:r w:rsidR="00295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модульного   оборудования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29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 оснащены все помещения дет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модули изготовлены из поролона, обтянуты искусственной кожей (</w:t>
      </w:r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винили кожей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). Мягкие модули изготовлены из поролона, обтянуты искусственной кожей (</w:t>
      </w:r>
      <w:r w:rsidR="002953C6"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винили кожей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Благодаря использованию высококачественных материалов изделия хорошо выдерживают нагрузку, быстро восстанавливают свою первоначальную форму и не требуют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сложного гигиенического ухода. Благодаря использованию высококачественных материалов изделия хорошо выдерживают нагрузку, быстро восстанавливают свою первоначальную форму и не требуют сложного гигиенического ухода. Применяемые материалы безопасны для здоровья, не содержат вредных химических соединений, аллергенов и тяжелых металлов. Применяемые материалы безопасны для здоровья, не содержат вредных химических соединений, аллергенов и тяжелых металлов. Универсален, привлекает своей многофункциональностью, травмобезопасностью, легкостью, прочностью и гигиеничностью. 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Универсален, привлекает своей многофункциональностью, травмобезопасностью, легкостью, прочностью и гигиеничностью.</w:t>
      </w:r>
    </w:p>
    <w:p w:rsidR="008D3DB9" w:rsidRPr="008D3DB9" w:rsidRDefault="008D3DB9" w:rsidP="008D3DB9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Для развития представлений о величине: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восприятие целостного облика  предмета;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выделение его главных частей и определение их свойств (форма,  величина  и т. д.);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пространственных взаимоотношений частей относительно друг друга (выше, ниже, слева и т. д.);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выделение мелких деталей (частей) и определение их  величины, соотношения, расположения и т. д.;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повторное целостное восприятие  предмета.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— это и дидактический метод, и одновременно мыслительная операция, посредством которых устанавливаются черты сходства и различия между  предметами  (объектами) и явлениями. Сравнение может идти путем сопоставления  предметов  или их частей, путем наложения  предметов  друг на друга или приложением  предметов 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 предмета</w:t>
      </w:r>
      <w:proofErr w:type="gramStart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выполнения планомерных действий. Первоначально выделенное лишь общее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 предмете  затем сменяется более опреде</w:t>
      </w:r>
      <w:r w:rsidR="002953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и детальным восприятием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сравнение — это своеобразный механизм обследования  предмета, который помогает установлению соотношения  предметов  по  величине, форме, пространственному положению, по некоторым другим свойствам, а в результате решает задачу усвоения общепринятой системы эталонов. Сравнение, являясь компонентом осмысленного восприятия  предметов  (объектов, явлений), способствует формированию правильных представлений о них, создает основу для обобщения и систематизации знаний.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аналитико-синтетической деятельности в процессе восприятия зависит от овладения ребенком разнообразными перцептивными действиями, благодаря которым образ предмета становится дифференцированным, т. е. в нем выделяются свойства. Отметим, что перцепция — психологическое восприятие, непосредственное отражение объективной деятельности органами чувств.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Перцептивные действия (А. В. Запорожец) ассоциируются с практическими действиями, имеющими внешне</w:t>
      </w:r>
      <w:r w:rsidR="00295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характер. Примерами могут служить движения руки, ощупывающей предмет, движения глаз, прослеживающих видимый контур, напряжение мышц гортани, воспроизводящих слышимый звук.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перцептивных действий в онтогенезе (хватание, ощупывание, обследование) должно соответствовать психолого-педагогическому руководству данным процессом: от игр и упражнений с реальными предметами к использованию моделей предметов и далее к зрительному различению и узнаванию обозначенных свойств предметов. Внешние ориентировочные действия постепенно переходят во внутренний план, т. е. интериоризуются. Эталоны начинают применяться без перемещения, совмещения, обведения контуров предметов и других внешних  приемов. Их заменяют рассматривающие движения глаза или ощупывающая 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рука, выступающая теперь как инструмент восприятия. Только в этом случае восприятие из процесса построения образа (предмета) будет превращаться в относительно элементарный процесс опознания. Эти изменения обусловливаются формированием у ребенка разветвленных систем сенсорных эталонов, которыми он начинает пользоваться, и овладением ос</w:t>
      </w:r>
      <w:r w:rsidR="00295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новными способами обследования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развитие восприятия эталонов включает в себя два основных компонента: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и совершенствование представлений о разновидностях свойств предметов, выполняющих функцию сенсорных эталонов;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совершенствование самих перцептивных действий, необходимых для использования эталонов при анализе свойств реальных предметов.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подчеркнем, что 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 регуляции деятельности. Использование всего многообразия приемов, облегчающих восприятие (показ предметов, стимулирующие реплики и направляющие внимание вопросы, рассказ педагога, игра, создание проблемной ситуации и др.), побуждает детей к оречевлению того, что они видят, к выполнению с объектом определенным образом организованной деятельности и к формулированию полученных результатов. Словесные обозначения свойств и качеств предметов,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воспринимаемого. Разные виды деятельности предоставляют большие возможности для обог</w:t>
      </w:r>
      <w:r w:rsidR="00A46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ащения словарного запаса детей</w:t>
      </w: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мы можем определить профиль восприятия размеров предметов следующим образом: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наличие интереса (ориентировочного, познавательного) к объекту;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проявление внимания (произвольного сосредоточения на объекте);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действия собственно восприятия (перцептивные действия);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опора на имеющийся опыт;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обобщенного образа объекта и закрепление его в слове.</w:t>
      </w:r>
    </w:p>
    <w:p w:rsidR="008D3DB9" w:rsidRPr="008D3DB9" w:rsidRDefault="008D3DB9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процессе воспитания величины предметов должно уделяться планированию предстоящей деятельности, осуществлению </w:t>
      </w:r>
      <w:proofErr w:type="gramStart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работы и предоставлению отчета по ее окончании, что, несомненно, трудно не только для дошкольников, но и для учащихся начальных классов, и без специального обучения, как показывают научные исследования, не формируется.</w:t>
      </w:r>
    </w:p>
    <w:p w:rsidR="00492E73" w:rsidRPr="006D4426" w:rsidRDefault="00492E73" w:rsidP="008D3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4DA" w:rsidRPr="004B44DA" w:rsidRDefault="004B44DA" w:rsidP="004B44DA">
      <w:pPr>
        <w:rPr>
          <w:rFonts w:ascii="Times New Roman" w:hAnsi="Times New Roman" w:cs="Times New Roman"/>
          <w:b/>
          <w:sz w:val="28"/>
          <w:szCs w:val="28"/>
        </w:rPr>
      </w:pPr>
    </w:p>
    <w:sectPr w:rsidR="004B44DA" w:rsidRPr="004B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DA"/>
    <w:rsid w:val="002953C6"/>
    <w:rsid w:val="00492E73"/>
    <w:rsid w:val="004B44DA"/>
    <w:rsid w:val="006D4426"/>
    <w:rsid w:val="008D3DB9"/>
    <w:rsid w:val="00A46B49"/>
    <w:rsid w:val="00CA71E9"/>
    <w:rsid w:val="00D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2016-02-27T15:25:00Z</dcterms:created>
  <dcterms:modified xsi:type="dcterms:W3CDTF">2016-02-27T16:45:00Z</dcterms:modified>
</cp:coreProperties>
</file>