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5" w:rsidRPr="001229E5" w:rsidRDefault="001229E5" w:rsidP="001229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«Музыкально-дидактические игры, как средство развития музыкальности детей </w:t>
      </w:r>
      <w:proofErr w:type="gramStart"/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интегрированной  музыкально-звуковой и</w:t>
      </w:r>
    </w:p>
    <w:p w:rsidR="001229E5" w:rsidRPr="001229E5" w:rsidRDefault="001229E5" w:rsidP="001229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предметно-развивающей среде ДОУ»</w:t>
      </w:r>
    </w:p>
    <w:p w:rsid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образовательного учреждения: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образовательное учреждение д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</w:t>
      </w:r>
    </w:p>
    <w:p w:rsidR="001229E5" w:rsidRP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хутора Галицын Муниципальное образование Славянский район Краснодарского края</w:t>
      </w:r>
    </w:p>
    <w:p w:rsidR="001229E5" w:rsidRP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авторе: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Кулигина Татьяна Анатольевна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 руководитель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д/с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1229E5" w:rsidRP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 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создания музыкальной развивающей среды на протяжении многих лет писали такие специалисты, как Л.С.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Б.М. Теплов, Н.А. Ветлугина, Н.А.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Метлов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Анализ современных программ воспитания, обучения и развития, таких как «Радуга» Т.Н.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«Музыкальные шедевры» О.П.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Радыновой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«Гармония» К.В. Тарасовой,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2100…», курс «Синтез искусств» О.А.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Куревиной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все они подразумевают организацию музыкальной развивающей среды ДОУ, как необходимое условие развития музыкальных способностей детей. Б.М. Теплов подчёркивает, что в процессе развития комплекса специальных, музыкальных способностей неизбежно происходит развитие и более общих способностей, проявляющихся в музыкальной деятельности (и не только в ней). Это творческое воображение, внимание, вдохновение, творческая свобода, чувство природы. В процессе развития эти способности трансформируются в личностные качества уверенного в себе, успешного человека.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229E5" w:rsidRP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Проблема: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известны давно, их необходимость и эффективность многократно подтверждена на практике специалистами. Теоретически, работа с музыкально дидактическими играми в ДОУ строится следующим образом: знакомство с игрой на музыкальном занятии, игра в группе под руководством воспитателя, самостоятельная детская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практике, однако, игра не выходит за рамки музыкального занятия. Воспитатели, не имеющие специального образования, не всегда могут оценить правильность выполнения задания детьми, не имеют возможности использовать музыкальный инструмент для исполнения музыкальных произведений. А настольно-печатные музыкально-дидактические пособия без музыкального сопровождения теряют всякий смысл. Без развития игрового навыка переход игры в самостоятельную музыкальную деятельность невозможен. В результате, такой важный компонент как музыкально дидактическая игра выпадает из музыкальной развивающей среды группы и семьи, а музыкально-дидактические пособия теряют свою развивающую функцию.</w:t>
      </w:r>
    </w:p>
    <w:p w:rsidR="001229E5" w:rsidRPr="001229E5" w:rsidRDefault="001229E5" w:rsidP="001229E5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Обоснование практической значимости: </w:t>
      </w:r>
      <w:proofErr w:type="gram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и родители зачастую не имеют специального музыкального образования, что создаёт определённые трудности при организации музыкально-дидактических игр в группе и в домашних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условияхОднако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образовательные программы обозначают роль в развитии музыкальных способностей детей воспитателей, семьи и музыкальных руководителей как 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равнозначную,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вызывает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перехода из позиции потребителя (родители) и наблюдателя (воспитатели) в позицию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полноправных участников процесса развития музыкально-сенсорных способностей.</w:t>
      </w:r>
      <w:proofErr w:type="gram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разделить музыкально-дидактические игры на 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группы. 1 группа игр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игры, применяемые музыкальными руководителями. 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 игр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игры, не требующие специальной музыкальной подготовки и оборудования, доступные для применения в работе воспитателями групп. А также дать воспитателям и родителям необходимые консультации и рекомендации по организации музыкально дидактических игр в группе и дома.</w:t>
      </w:r>
    </w:p>
    <w:p w:rsidR="001229E5" w:rsidRP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работы заключается в том, что</w:t>
      </w: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стремимся к созданию системы, при которой отсутствие специального образования воспитателей и родителей,  а также специального оборудования и пособий не являются препятствием для организации музыкально-дидактических и музыкально-сенсорных игр в группе и дома. Такой системы, при которой воспитатели и дети получат возможность придумывать новые музыкально-дидактические и музыкально-сенсорные игры по аналогии со знакомыми, на основе приобретённого  опыта, </w:t>
      </w:r>
      <w:r w:rsidRPr="00122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используя при этом детские музыкальные инструменты, предметы домашнего обихода, природные объекты, игровые пособия и игрушки, составляющие предметную развивающую среду.</w:t>
      </w:r>
    </w:p>
    <w:p w:rsidR="001229E5" w:rsidRP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проекта: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музыкальных способностей детей в интегрированной музыкально-звуковой и предметно-развивающей среде.</w:t>
      </w:r>
    </w:p>
    <w:p w:rsidR="001229E5" w:rsidRPr="001229E5" w:rsidRDefault="001229E5" w:rsidP="001229E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Развитие музыкальных способностей детей.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Создание модели взаимодействия музыкального руководителя с воспитателями и родителями по вопросам интегрирования музыкально-звуковой и предметно-развивающей среды и музыкальному воспитанию и развитию детей.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Развитие творчества детей, родителей, воспитателей;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Повышение компетентности и профессионального мастерства педагогов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Повышение педагогической компетентности  родителей</w:t>
      </w:r>
    </w:p>
    <w:p w:rsidR="00837564" w:rsidRDefault="001229E5" w:rsidP="008375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Создание информационно – методической базы ДОУ по музыкальному воспитанию и развитию детей.</w:t>
      </w:r>
    </w:p>
    <w:p w:rsidR="00E50655" w:rsidRDefault="00E50655" w:rsidP="008375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9E5" w:rsidRDefault="001229E5" w:rsidP="008375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Этапы проекта</w:t>
      </w:r>
    </w:p>
    <w:p w:rsidR="00837564" w:rsidRPr="001229E5" w:rsidRDefault="00837564" w:rsidP="0083756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511"/>
        <w:gridCol w:w="1603"/>
        <w:gridCol w:w="1668"/>
        <w:gridCol w:w="2007"/>
      </w:tblGrid>
      <w:tr w:rsidR="001229E5" w:rsidRPr="001229E5" w:rsidTr="00837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Деятельность 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50655" w:rsidRPr="001229E5" w:rsidTr="00F5601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0655" w:rsidRPr="001229E5" w:rsidRDefault="00E50655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CCFFCC"/>
                <w:lang w:eastAsia="ru-RU"/>
              </w:rPr>
              <w:t>Март 2015</w:t>
            </w:r>
            <w:r w:rsidRPr="00122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CCFFCC"/>
                <w:lang w:eastAsia="ru-RU"/>
              </w:rPr>
              <w:t xml:space="preserve"> год</w:t>
            </w:r>
          </w:p>
        </w:tc>
      </w:tr>
      <w:tr w:rsidR="001229E5" w:rsidRPr="001229E5" w:rsidTr="00837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Определение задач проекта для различных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Организация развития музыкальных способностей детей в интегрированной музыкально-звуковой и предметно0развиваю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среде. Координация взаимодействия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ук.-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воспитатели-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выявление знаний и умений в организации музыкально-дидактическ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Анкетирование, выявление знаний о музыкально-дидактических играх и отношения к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взаимодействия музыкального руководителя с воспитателями и родителями по вопросам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интегрирования музыкально-звуковой и предметно-развивающей среды, и музыкальному воспитанию и развитию детей</w:t>
            </w:r>
          </w:p>
        </w:tc>
      </w:tr>
      <w:tr w:rsidR="00E50655" w:rsidRPr="001229E5" w:rsidTr="006F069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0655" w:rsidRPr="001229E5" w:rsidRDefault="00E50655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99"/>
                <w:lang w:eastAsia="ru-RU"/>
              </w:rPr>
              <w:lastRenderedPageBreak/>
              <w:t>Апрель 2015</w:t>
            </w:r>
            <w:r w:rsidRPr="00122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99"/>
                <w:lang w:eastAsia="ru-RU"/>
              </w:rPr>
              <w:t xml:space="preserve"> год</w:t>
            </w:r>
          </w:p>
        </w:tc>
      </w:tr>
      <w:tr w:rsidR="001229E5" w:rsidRPr="001229E5" w:rsidTr="00837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Классификация задач 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Дифференциация задач музыкального развития детей для музыкального руководителя, воспитателей и родителей.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музыкального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Знакомство с  задачами музыкального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музыкально-дидактических игр на </w:t>
            </w:r>
            <w:proofErr w:type="gramStart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 и общие</w:t>
            </w:r>
          </w:p>
        </w:tc>
      </w:tr>
      <w:tr w:rsidR="00E50655" w:rsidRPr="001229E5" w:rsidTr="0024219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0655" w:rsidRPr="001229E5" w:rsidRDefault="00E50655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CCFFCC"/>
                <w:lang w:eastAsia="ru-RU"/>
              </w:rPr>
              <w:t>Май – Сентябрь 2015</w:t>
            </w:r>
            <w:r w:rsidRPr="00122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CCFFCC"/>
                <w:lang w:eastAsia="ru-RU"/>
              </w:rPr>
              <w:t xml:space="preserve"> год</w:t>
            </w:r>
          </w:p>
        </w:tc>
      </w:tr>
      <w:tr w:rsidR="001229E5" w:rsidRPr="001229E5" w:rsidTr="00837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Интегрирование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воспитателями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музыкально-звуковой 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музыкально-звуковой и предметно-развивающей среды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музыкально-звуковой и предметно-развивающей среды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и профессионального мастерства педагогов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  <w:p w:rsidR="001229E5" w:rsidRPr="00E50655" w:rsidRDefault="00E5065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</w:t>
            </w:r>
            <w:r w:rsidR="001229E5" w:rsidRPr="00E5065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1229E5" w:rsidRPr="00E50655">
              <w:rPr>
                <w:rFonts w:ascii="Times New Roman" w:hAnsi="Times New Roman" w:cs="Times New Roman"/>
                <w:sz w:val="24"/>
                <w:szCs w:val="24"/>
              </w:rPr>
              <w:t>методической базы ДОУ по музыкальному воспитанию и развитию детей. Интегрированная музыкально-звуковая и предметно-развивающая среда</w:t>
            </w:r>
          </w:p>
        </w:tc>
      </w:tr>
      <w:tr w:rsidR="00E50655" w:rsidRPr="001229E5" w:rsidTr="00D12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0655" w:rsidRPr="001229E5" w:rsidRDefault="00E50655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99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99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99"/>
                <w:lang w:eastAsia="ru-RU"/>
              </w:rPr>
              <w:t xml:space="preserve"> 2015 -2016</w:t>
            </w:r>
            <w:r w:rsidRPr="00122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99"/>
                <w:lang w:eastAsia="ru-RU"/>
              </w:rPr>
              <w:t xml:space="preserve">  учебного года</w:t>
            </w:r>
          </w:p>
        </w:tc>
      </w:tr>
      <w:tr w:rsidR="001229E5" w:rsidRPr="001229E5" w:rsidTr="00837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музыкально-дидактических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 в воспитательно-образовательный процесс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обследование детей по МР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воспитателями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развития музыкальности детей на занятии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Координация планирования муз</w:t>
            </w:r>
            <w:proofErr w:type="gramStart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ук. С воспитателями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организация развития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музыкальности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организация развития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музыкальности детей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музыкально-сенсорной эталонной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ребёнка в процессе игр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детей, родителей, воспитателей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способностей детей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Систематичность в планировании и проведении музыкально-дидактических игр</w:t>
            </w:r>
          </w:p>
        </w:tc>
      </w:tr>
      <w:tr w:rsidR="00E50655" w:rsidRPr="001229E5" w:rsidTr="0005742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0655" w:rsidRPr="001229E5" w:rsidRDefault="00E50655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CCFFCC"/>
                <w:lang w:eastAsia="ru-RU"/>
              </w:rPr>
              <w:lastRenderedPageBreak/>
              <w:t>Февраль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CCFFCC"/>
                <w:lang w:eastAsia="ru-RU"/>
              </w:rPr>
              <w:t>6</w:t>
            </w:r>
            <w:r w:rsidRPr="00E50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CCFFCC"/>
                <w:lang w:eastAsia="ru-RU"/>
              </w:rPr>
              <w:t xml:space="preserve"> года</w:t>
            </w:r>
          </w:p>
        </w:tc>
      </w:tr>
      <w:tr w:rsidR="001229E5" w:rsidRPr="001229E5" w:rsidTr="00837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Тестирование воспитателей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«Круглого стола»</w:t>
            </w:r>
          </w:p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Анализ внедрения проекта в работу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Участие в работе «Круглого стола»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Участие в работе «Круглого стола»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29E5" w:rsidRPr="00E50655" w:rsidRDefault="001229E5" w:rsidP="00E5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на методическом объединении музыкальных руководителей </w:t>
            </w:r>
            <w:r w:rsidR="00E5065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229E5" w:rsidRPr="001229E5" w:rsidRDefault="001229E5" w:rsidP="00E50655">
            <w:pPr>
              <w:spacing w:after="0" w:line="240" w:lineRule="auto"/>
              <w:rPr>
                <w:lang w:eastAsia="ru-RU"/>
              </w:rPr>
            </w:pP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50655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E50655">
              <w:rPr>
                <w:rFonts w:ascii="Times New Roman" w:hAnsi="Times New Roman" w:cs="Times New Roman"/>
                <w:sz w:val="24"/>
                <w:szCs w:val="24"/>
              </w:rPr>
              <w:t>конкурсе проектной деятельности ДОУ</w:t>
            </w:r>
          </w:p>
        </w:tc>
      </w:tr>
    </w:tbl>
    <w:p w:rsidR="001229E5" w:rsidRPr="001229E5" w:rsidRDefault="001229E5" w:rsidP="001229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результат: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Обогащение  музыкально-сенсорной эталонной системы ребёнка в процессе игр.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Развитие общей музыкальности детей.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Создание модели взаимодействия музыкального руководителя с воспитателями и родителями по вопросам интегрирования музыкально-звуковой и предметно-развивающей среды и музыкальному воспитанию и развитию детей.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Повышение компетентности и профессионального мастерства педагогов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Повышение педагогической компетентности  родителей</w:t>
      </w:r>
    </w:p>
    <w:p w:rsidR="001229E5" w:rsidRPr="001229E5" w:rsidRDefault="001229E5" w:rsidP="001229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Создание информационно – методической базы ДОУ по музыкальному воспитанию и развитию детей.</w:t>
      </w:r>
    </w:p>
    <w:p w:rsidR="001229E5" w:rsidRPr="001229E5" w:rsidRDefault="001229E5" w:rsidP="001229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Предполагаемый общий результат: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развития комплекса специальных, музыкальных способностей приводит к развитию более общих способностей: творческого воображения, внимания, вдохновения, творческой свободы, чувства природы. В процессе развития эти способности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трансформируются в личностные качества уверенного в себе, успешного человека.</w:t>
      </w:r>
    </w:p>
    <w:p w:rsidR="001229E5" w:rsidRPr="001229E5" w:rsidRDefault="001229E5" w:rsidP="001229E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разработки: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Подборка общих музыкально-дидактических игр для младшего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Подборка общих музыкально-дидактических игр для среднего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Подборка общих музыкально-дидактических игр для старшего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Подборка специальных музыкально-дидактических игр для младшего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Подборка специальных музыкально-дидактических игр для среднего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Подборка специальных музыкально-дидактических игр для старшего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Картотека музыкально-дидактических игр для младшего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Картотека музыкально-дидактических игр для среднего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Картотека музыкально-дидактических игр для старшего возраста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Консультация для родителей «Мама, давай поиграем!»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Консультация для родителей «Музыкальная среда семьи»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Консультация для родителей: «Роль родителей в развитии музыкальности ребёнка»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Консультация для родителей «Первые шаги творчества»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Рекомендации для родителей и по организации музыкально-дидактических игр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Консультация для воспитателей «Роль музыкально-дидактических игр в музыкальном развитии детей»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Рекомендации для родителей по организации музыкально-звуковой среды семьи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Консультация для воспитателей: «Музыкально-дидактические игры в группе»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Консультация для воспитателей «Музыкально-звуковая развивающая среда ДОУ»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Рекомендации по организации музыкально-дидактических игр для воспитателей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Рекомендации для воспитателей по организации музыкально-звуковой развивающей среды в группе</w:t>
      </w:r>
    </w:p>
    <w:p w:rsidR="001229E5" w:rsidRPr="001229E5" w:rsidRDefault="001229E5" w:rsidP="001229E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   Папка-передвижка «Музыкальные инструменты, изготовленные своими руками»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и технологии: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проекта были использованы игры, разработанные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Комиссаровой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Н., Ветлугиной Н. А., Кононовой Н. Г., М. Б.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Зацепиной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игры, придуманные музыкальными руководителями, воспитателями, детьми и их родителями.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Г.Сайкина, Ж. Е.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Фирилёва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Са-фи-дансе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М.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«Праздник каждый день»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Э.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Тютюнникова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«Учусь творить. Элементарное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музыка, речь, движение»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О. А. Новикова «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условия реализации проекта:</w:t>
      </w:r>
    </w:p>
    <w:p w:rsidR="001229E5" w:rsidRPr="001229E5" w:rsidRDefault="001229E5" w:rsidP="001229E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83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-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предметно-развивающая среда: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музыкальное оборудование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gram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материалы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конструкторы различных модификаций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различные виды игрушек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физкультурное оборудование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природный материал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посуда и кухонная утварь</w:t>
      </w:r>
    </w:p>
    <w:p w:rsidR="001229E5" w:rsidRPr="001229E5" w:rsidRDefault="001229E5" w:rsidP="001229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самодельные музыкальные шумовые инструменты</w:t>
      </w:r>
    </w:p>
    <w:p w:rsidR="001229E5" w:rsidRPr="001229E5" w:rsidRDefault="00837564" w:rsidP="001229E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1229E5"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педагогов для ведения данной деятельности (самообразование педагогов, курсы повышения квалификации, авторские семинары)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контроля: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уровня развития музыкальности ребёнка нами используется методика С.И. Мерзляковой, доцента кафедры педагогики и методики дошкольного образования МИОО.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Высокий уровень –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ребёнка, самостоятельность, инициатива, быстрое осмысление задания, точное выразительное его выполнение без помощи взрослого; ярко выраженная эмоциональность (во всех видах музыкальной деятельности)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Средний уровень –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отзывчивость, интерес к музыкальной деятельности, желание включиться в неё, несмотря на некоторые затруднения в выполнении задания. Ребёнок нуждается в помощи педагога, дополнительном объяснении, показе, неоднократных повторах.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Низкий уровень –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proofErr w:type="spell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малоэмоционален</w:t>
      </w:r>
      <w:proofErr w:type="spell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ровно</w:t>
      </w:r>
      <w:proofErr w:type="gram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покойно относится к музыке, музыкальной деятельности, не проявляет активного интереса, равнодушен, не способен к самостоятельности.</w:t>
      </w:r>
    </w:p>
    <w:p w:rsidR="001229E5" w:rsidRPr="001229E5" w:rsidRDefault="001229E5" w:rsidP="0012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Критический уровень 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(редко встречаемая оценка) – негативное отношение ребёнка к музыке и музыкальной деятельности, связанное</w:t>
      </w:r>
      <w:proofErr w:type="gram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правило, с отклонениями в здоровье или с педагогической запущенностью (чаще по вине семьи)</w:t>
      </w:r>
    </w:p>
    <w:p w:rsidR="007E65EC" w:rsidRDefault="001229E5" w:rsidP="001229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проводится следующим образом:</w:t>
      </w:r>
      <w:r w:rsidRPr="0012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индивидуально или подгруппами выполняют задания педагога. Качество выполнения заданий оценивается согласно карте программных требований, соответственно возрасту детей.</w:t>
      </w:r>
    </w:p>
    <w:p w:rsidR="002659FD" w:rsidRDefault="002659FD" w:rsidP="001229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9FD" w:rsidRDefault="002659FD" w:rsidP="001229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59FD" w:rsidSect="007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D98"/>
    <w:multiLevelType w:val="multilevel"/>
    <w:tmpl w:val="46F0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C3CC1"/>
    <w:multiLevelType w:val="multilevel"/>
    <w:tmpl w:val="D692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13670"/>
    <w:multiLevelType w:val="multilevel"/>
    <w:tmpl w:val="3E9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D75AD"/>
    <w:multiLevelType w:val="multilevel"/>
    <w:tmpl w:val="9E5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721B8"/>
    <w:multiLevelType w:val="multilevel"/>
    <w:tmpl w:val="AE5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64FF3"/>
    <w:multiLevelType w:val="multilevel"/>
    <w:tmpl w:val="6CC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E5"/>
    <w:rsid w:val="001229E5"/>
    <w:rsid w:val="002659FD"/>
    <w:rsid w:val="00480429"/>
    <w:rsid w:val="0075768B"/>
    <w:rsid w:val="007E0566"/>
    <w:rsid w:val="007E65EC"/>
    <w:rsid w:val="00837564"/>
    <w:rsid w:val="00A25B10"/>
    <w:rsid w:val="00E5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2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ДС37</dc:creator>
  <cp:keywords/>
  <dc:description/>
  <cp:lastModifiedBy>ДС37</cp:lastModifiedBy>
  <cp:revision>5</cp:revision>
  <dcterms:created xsi:type="dcterms:W3CDTF">2016-02-01T16:20:00Z</dcterms:created>
  <dcterms:modified xsi:type="dcterms:W3CDTF">2016-02-01T17:02:00Z</dcterms:modified>
</cp:coreProperties>
</file>