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8B8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    </w:t>
      </w:r>
      <w:r w:rsidR="00BF2201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     </w:t>
      </w:r>
      <w:proofErr w:type="spellStart"/>
      <w:r w:rsidR="00BF2201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Межпредметные</w:t>
      </w:r>
      <w:proofErr w:type="spellEnd"/>
      <w:r w:rsidR="00BF2201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 связи</w:t>
      </w:r>
      <w:r w:rsidRPr="004B3764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на уроках английского языка </w:t>
      </w:r>
      <w:r w:rsidR="00BF2201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.</w:t>
      </w:r>
    </w:p>
    <w:p w:rsidR="004B3764" w:rsidRPr="004B3764" w:rsidRDefault="004B3764" w:rsidP="006668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Реализация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межпредметных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связей в школьном обучении на практике является конкретным выражением интеграционных процессов, происходящих сегодня в науке и в жизни общества. Эти связи играют важную роль в повышении практической и научно-теоретической подготовки учащихся, существенной особенностью которой является овладение школьниками обобщенным характером познавательной деятельности. Обобщенность же дает возможность применять знания и умения в конкретных ситуациях, при рассмотрении частных вопросов, как в учебной, так и во внеурочной деятельности, в будущей производственной, научной и общественной жизни выпускников средней школ</w:t>
      </w:r>
    </w:p>
    <w:p w:rsidR="004B3764" w:rsidRPr="004B3764" w:rsidRDefault="004B3764" w:rsidP="006668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11"/>
          <w:szCs w:val="11"/>
          <w:lang w:eastAsia="ru-RU"/>
        </w:rPr>
      </w:pPr>
      <w:proofErr w:type="spellStart"/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>Межпредметные</w:t>
      </w:r>
      <w:proofErr w:type="spellEnd"/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 xml:space="preserve"> связи на уроках английского языка в начальной школе.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Обучение английскому языку необходимо строить на вхождение в культуру носителей языка. Ознакомление младших школьников с фольклором, традициями и особенностями культуры Англии, а этот процесс будет гораздо эффективнее, если связать его с культурой своего родного языка. В качестве примера хотелось бы привести разучивание стишков Агнии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Барто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и К. И. Чуковского в переводе на английский язык. Дети с детства знакомятся со стихами Агнии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Барто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, поэтому им будет легче учить это стихотворение на английском языке, и они уже знают, о чем это стихотворение.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Little Tanya sadly sobbing,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On the waves her ball is bobbing,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Don’t cry your eyes out so: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Rubber balls don’t drone, you know.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My horse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How I love my little horse,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lastRenderedPageBreak/>
        <w:t>I will brush him very well, of course.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I will comb his tail and mane,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And go riding out again.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>Английский язык и математика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. Здесь очень помогают считалочки. Манера исполнения считалочек знакома детям с детства, поэтому они легко их запоминают.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 xml:space="preserve">Благодаря разучиванию считалок на английском, у детей тренируется память и развивается чувство ритма. Английские дразнилки играют существенную роль в общем развитии детей, обучая их иностранному языку и счету, и прослеживается связь со считалочками на родном языке.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val="en-US" w:eastAsia="ru-RU"/>
        </w:rPr>
        <w:t xml:space="preserve">Let’s count one, one,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val="en-US" w:eastAsia="ru-RU"/>
        </w:rPr>
        <w:t>one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val="en-US" w:eastAsia="ru-RU"/>
        </w:rPr>
        <w:t xml:space="preserve">. One from two is one.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val="en-US" w:eastAsia="ru-RU"/>
        </w:rPr>
        <w:t>One, one, one.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val="en-US" w:eastAsia="ru-RU"/>
        </w:rPr>
        <w:t xml:space="preserve"> Two from three is one. One potato, two potatoes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val="en-US" w:eastAsia="ru-RU"/>
        </w:rPr>
        <w:t>Three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val="en-US" w:eastAsia="ru-RU"/>
        </w:rPr>
        <w:t xml:space="preserve"> potatoes, four, Five potatoes, six potatoes, Seven potatoes more.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Eeny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,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weeny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, winey, </w:t>
      </w:r>
      <w:proofErr w:type="spellStart"/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wo</w:t>
      </w:r>
      <w:proofErr w:type="spellEnd"/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,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Ени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,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Вени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,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Вини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,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Вут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,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Where do all the Frenchmen go?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Куда французы все бегут?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To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the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east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and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to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the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west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, Бегут на запад и восток,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And into the old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>crow’s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val="en-US" w:eastAsia="ru-RU"/>
        </w:rPr>
        <w:t xml:space="preserve"> nest.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К вороне старой на шесток!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>Английский и информатика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. Знания, полученные на уроках английского языка и информатики, объединяются в единую систему мировосприятия. Пропедевтика этих понятий позволит учащимся создать ситуацию успеха уже в старших классах. Целью интеграции английского языка и информатики является овладение знаниями в информационной, образовательной и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социокультурной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среде.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>Английский язык и изобразительное искусство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. В начальных классах очень эффективной является работа с раскрасками. Детям очень нравится такая форма работы, и они с удовольствием разукрашивают картинки. Ресурсы интернета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lastRenderedPageBreak/>
        <w:t>здесь безграничны. Я распечатываю учащимся раскраски, которые соответствуют темам уроков. Дети воспринимают мир целостно. Их любимые занятия: раскрашивание, рисование, вырезание из бумаги.</w:t>
      </w:r>
      <w:r w:rsidRPr="004B3764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 xml:space="preserve">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Английский язык и музыка.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3F3F3"/>
          <w:lang w:eastAsia="ru-RU"/>
        </w:rPr>
        <w:t xml:space="preserve">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Уроки по теме «Времена года» Иллюстративный материал: пейзажи русских художников и прослушивание цикла П.И. Чайковского «Времена года». Английский язык и математика.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>Математика – изучение символов Рождества: звезда, ель – треугольник (символ святой Троицы), зеленый венок – круг.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 xml:space="preserve"> Так же математический счет на английском языке при изучении темы «Числительные».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Среди всех гуманитарных дисциплин наиболее ярко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межпредметные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связи английского языка выражаются в опоре на родной язык. Ведь родной язык может служить подспорьем в овладении иностранным практически на любой ступени обучения, если его применение системно и если с его помощью достигаются не только практические, но также и образовательные и развивающие цели. Подобной сбалансированной точки зрения придерживаются многие исследователи (Р.К.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Миньяр-Белоручев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, Э.Г. Вольтер, Д.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Аткинсон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, С. Крашен, Л.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Продромоу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и др.). Так, в одной из недавних работ Л.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Продромоу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, говоря о роли родного языка, предлагает ряд метафор, каждая из которых по-своему справедлива, если не воспринимать ее как истину в последней инстанции: «Родной язык на уроке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иностранного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– это: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1.лекарство (безусловно, полезное, но имеющее ряд противопоказаний и вызывающее привыкание);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2. колодец, из которого черпают знания;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3. стена, мешающая преподаванию;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4. окно в широкий мир (оно позволяет рассмотреть предыдущий опыт учащихся, их интересы и знание мира, их культуру);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5. костыль (он помогает идти вперед, но одновременно свидетельствует о беспомощности);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lastRenderedPageBreak/>
        <w:t>6. смазочный материал, благодаря которому шестеренки урока движутся слаженно, как единый механизм, таким образом, сберегая время».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Этот же автор иносказательно, в анкете для учащихся перечисляет ряд функций родного языка.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Здесь стоит сказать, что роль родного языка может нести пользу, а может и навредить. На родном языке ведется объяснение урока и тут надо учитывать особенности родного языка и английского. Во время объяснения грамматического материала следует учитывать порядок слов при переводе. В таких случаях необходимо проводить сравнительный анализ перевода и обращать внимание на порядок слов в родном языке и в английском при переводе. 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 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shd w:val="clear" w:color="auto" w:fill="FFFFFF"/>
          <w:lang w:eastAsia="ru-RU"/>
        </w:rPr>
        <w:t>Синтаксис и пунктуация:</w:t>
      </w: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br/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 xml:space="preserve"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>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 xml:space="preserve"> Правила постановки знаков препинания в английском, также имеют ряд схо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>дств с р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t>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 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shd w:val="clear" w:color="auto" w:fill="FFFFFF"/>
          <w:lang w:eastAsia="ru-RU"/>
        </w:rPr>
        <w:br/>
      </w:r>
      <w:r w:rsidRPr="004B3764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 xml:space="preserve">Средство </w:t>
      </w:r>
      <w:proofErr w:type="spellStart"/>
      <w:r w:rsidRPr="004B3764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семантизации</w:t>
      </w:r>
      <w:proofErr w:type="spellEnd"/>
      <w:r w:rsidRPr="004B3764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 xml:space="preserve"> лексических единиц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В этой функции родной язык применяется только тогда, когда не срабатывается приемы прямой демонстрации, догадки по форме слова или иноязычного толкования значения. В этой ситуации используется либо перевод одним - двумя словами (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admire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– восхищаться,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man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– человек, мужчина), либо перевод-</w:t>
      </w: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lastRenderedPageBreak/>
        <w:t>толкование, например, «в конце концов» может означать «уж если на то пошло» (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after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all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) или «в итоге» (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in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the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end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).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Обеспечение учебного общения (то есть команды, инструкции к заданиям, формулировка цели урока, представление речевой ситуации и т.п.)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Правда, родной язык здесь быстро вытесняется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иностранным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, особенно в устном общении на уроке, а наиболее опытные учителя с самого начала вообще не задействуют родной язык в этой функции. Однако письменные инструкции и комментарии на родном языке (в учебнике, в раздаточных материалах) необходимы хотя бы в начальный период обучения, чтобы обеспечить самостоятельную работу учащихся. Кроме того, инструкция на родном языке помогает придать осмысленность даже формальным заданиям.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>Средство профилактики ошибок, вызываемых межъязыковой интерференцией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Так, З.М. Цветкова рекомендовала использовать нарочито корявый дословный перевод, чтобы «ввести в светлую точку сознания» 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идиоматичность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, структуры иноязычных предложений. Она предлагала учащимся определить, каким образом те или иные высказывания сформулирует англичанин, плохо владеющий русским языком: Я хочу, чтобы они навестили меня – Я хочу их навестить меня.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Опора на родной язык также желательна в случаях, когда значение грамматического явления на родном языке шире, чем на иностранном.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Например, знакомясь с предлогом «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in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», младших школьников надо сразу предупредить, что русский предлог «в» отвечает на вопросы «где» и «куда», а английский предлог «</w:t>
      </w:r>
      <w:proofErr w:type="spell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in</w:t>
      </w:r>
      <w:proofErr w:type="spell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» - только на вопрос «где».</w:t>
      </w:r>
      <w:proofErr w:type="gramEnd"/>
    </w:p>
    <w:p w:rsidR="00BF2201" w:rsidRDefault="00BF2201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</w:pPr>
    </w:p>
    <w:p w:rsidR="00BF2201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>Средство формирования лексических и грамматических навыков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lastRenderedPageBreak/>
        <w:t xml:space="preserve">Для этой цели очень эффективен так называемый «обратный перевод», когда учащимся предъявляются высказывания на родном языке в левой колонке и те же высказывания </w:t>
      </w:r>
      <w:proofErr w:type="gramStart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на</w:t>
      </w:r>
      <w:proofErr w:type="gramEnd"/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 xml:space="preserve"> иностранном в правой колонке.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 xml:space="preserve">Средство экономного совмещения практических и образовательных целей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Совершенствуя нужные навыки употребления лексики или грамматики, мы одновременно даем учащимся возможность проверить свой кругозор. Однако пробелы в образовании – не вина школьника, и у него не должен развиваться комплекс неполноценности. Задача учителя – подтолкнуть учащихся к расширению общего кругозора, к более внимательному изучению общеобразовательных дисциплин, привить им любовь к самостоятельному чтению, приучить пользоваться справочной литературой.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color w:val="1D1B11"/>
          <w:sz w:val="27"/>
          <w:szCs w:val="27"/>
          <w:lang w:eastAsia="ru-RU"/>
        </w:rPr>
        <w:t>Средство формирования языковой картины мира</w:t>
      </w:r>
    </w:p>
    <w:p w:rsidR="004B3764" w:rsidRPr="004B3764" w:rsidRDefault="004B3764" w:rsidP="004B376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B3764">
        <w:rPr>
          <w:rFonts w:ascii="Times New Roman" w:eastAsia="Times New Roman" w:hAnsi="Times New Roman" w:cs="Times New Roman"/>
          <w:bCs/>
          <w:color w:val="1D1B11"/>
          <w:sz w:val="27"/>
          <w:szCs w:val="27"/>
          <w:lang w:eastAsia="ru-RU"/>
        </w:rPr>
        <w:t xml:space="preserve">В этой функции родной язык выступает на всех ступенях обучения параллельно с </w:t>
      </w:r>
      <w:proofErr w:type="gramStart"/>
      <w:r w:rsidRPr="004B3764">
        <w:rPr>
          <w:rFonts w:ascii="Times New Roman" w:eastAsia="Times New Roman" w:hAnsi="Times New Roman" w:cs="Times New Roman"/>
          <w:bCs/>
          <w:color w:val="1D1B11"/>
          <w:sz w:val="27"/>
          <w:szCs w:val="27"/>
          <w:lang w:eastAsia="ru-RU"/>
        </w:rPr>
        <w:t>иностранным</w:t>
      </w:r>
      <w:proofErr w:type="gramEnd"/>
      <w:r w:rsidRPr="004B3764">
        <w:rPr>
          <w:rFonts w:ascii="Times New Roman" w:eastAsia="Times New Roman" w:hAnsi="Times New Roman" w:cs="Times New Roman"/>
          <w:bCs/>
          <w:color w:val="1D1B11"/>
          <w:sz w:val="27"/>
          <w:szCs w:val="27"/>
          <w:lang w:eastAsia="ru-RU"/>
        </w:rPr>
        <w:t xml:space="preserve">. Он помогает установить этимологическую близость слов внутри одного языка и на уровне межъязыковых соответствий выявить внутреннюю форму слова, увидеть смысл пословиц и поговорок, проследить развитие значений слов и т.п. </w:t>
      </w:r>
    </w:p>
    <w:p w:rsidR="004B3764" w:rsidRPr="004B3764" w:rsidRDefault="004B3764" w:rsidP="004B376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3764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 xml:space="preserve">Средство активизации оперативной памяти и мышления учащихся в процессе чтения или </w:t>
      </w:r>
      <w:proofErr w:type="spellStart"/>
      <w:r w:rsidRPr="004B3764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аудирования</w:t>
      </w:r>
      <w:proofErr w:type="spellEnd"/>
      <w:r w:rsidRPr="004B3764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.</w:t>
      </w:r>
    </w:p>
    <w:p w:rsidR="004B3764" w:rsidRPr="004B3764" w:rsidRDefault="004B3764" w:rsidP="006668B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B3764">
        <w:rPr>
          <w:rFonts w:ascii="Times New Roman" w:eastAsia="Times New Roman" w:hAnsi="Times New Roman" w:cs="Times New Roman"/>
          <w:bCs/>
          <w:color w:val="1D1B11"/>
          <w:sz w:val="27"/>
          <w:szCs w:val="27"/>
          <w:lang w:eastAsia="ru-RU"/>
        </w:rPr>
        <w:t>В данной функции родной язык используется преимущественно на начальной и средней ступени обучения. Форма задания может быть самой традиционной – множественный выбор или правильные и ложные высказывания о содержании текста, которые надо подтвердить или опровергнуть деталями из текста. Роль родного языка состоит в том, что подбираются емкие высказывания, компрессирующие сообщение или выражающие общие суждения, и учащимся приходится самостоятельно искать в тексте доказательства или опровержения.</w:t>
      </w:r>
    </w:p>
    <w:p w:rsidR="004B3764" w:rsidRPr="004B3764" w:rsidRDefault="004B3764" w:rsidP="004B37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3764" w:rsidRPr="004B3764" w:rsidSect="00BB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0D5"/>
    <w:multiLevelType w:val="multilevel"/>
    <w:tmpl w:val="255A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559D2"/>
    <w:multiLevelType w:val="multilevel"/>
    <w:tmpl w:val="4110974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0B4E45"/>
    <w:multiLevelType w:val="multilevel"/>
    <w:tmpl w:val="DE00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2227F"/>
    <w:multiLevelType w:val="multilevel"/>
    <w:tmpl w:val="368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E45D0"/>
    <w:multiLevelType w:val="multilevel"/>
    <w:tmpl w:val="060A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05528"/>
    <w:multiLevelType w:val="multilevel"/>
    <w:tmpl w:val="2B20BE6E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52233F8"/>
    <w:multiLevelType w:val="multilevel"/>
    <w:tmpl w:val="CCB868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6F81F37"/>
    <w:multiLevelType w:val="multilevel"/>
    <w:tmpl w:val="4D6EC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07CDB"/>
    <w:multiLevelType w:val="multilevel"/>
    <w:tmpl w:val="4AF4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C4F1B"/>
    <w:multiLevelType w:val="multilevel"/>
    <w:tmpl w:val="139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45A79"/>
    <w:multiLevelType w:val="multilevel"/>
    <w:tmpl w:val="4D1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E29DC"/>
    <w:multiLevelType w:val="multilevel"/>
    <w:tmpl w:val="2A5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13129"/>
    <w:multiLevelType w:val="multilevel"/>
    <w:tmpl w:val="7BBC5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C1E54F0"/>
    <w:multiLevelType w:val="multilevel"/>
    <w:tmpl w:val="736A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A24BF"/>
    <w:multiLevelType w:val="multilevel"/>
    <w:tmpl w:val="F97C93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7F11FA7"/>
    <w:multiLevelType w:val="multilevel"/>
    <w:tmpl w:val="E280F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75E2C"/>
    <w:multiLevelType w:val="multilevel"/>
    <w:tmpl w:val="33FE15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"/>
  </w:num>
  <w:num w:numId="5">
    <w:abstractNumId w:val="16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5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64"/>
    <w:rsid w:val="004B3764"/>
    <w:rsid w:val="004D7D70"/>
    <w:rsid w:val="006668B8"/>
    <w:rsid w:val="00680237"/>
    <w:rsid w:val="00A8029A"/>
    <w:rsid w:val="00B24DA3"/>
    <w:rsid w:val="00BB7A97"/>
    <w:rsid w:val="00BF2201"/>
    <w:rsid w:val="00D00BC8"/>
    <w:rsid w:val="00D41DC7"/>
    <w:rsid w:val="00D44A7C"/>
    <w:rsid w:val="00D54902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7"/>
  </w:style>
  <w:style w:type="paragraph" w:styleId="3">
    <w:name w:val="heading 3"/>
    <w:basedOn w:val="a"/>
    <w:link w:val="30"/>
    <w:uiPriority w:val="9"/>
    <w:qFormat/>
    <w:rsid w:val="004B3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7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2016-02-17T08:22:00Z</dcterms:created>
  <dcterms:modified xsi:type="dcterms:W3CDTF">2016-02-17T08:46:00Z</dcterms:modified>
</cp:coreProperties>
</file>