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63" w:type="dxa"/>
        <w:tblCellSpacing w:w="0" w:type="dxa"/>
        <w:tblInd w:w="-1418" w:type="dxa"/>
        <w:tblCellMar>
          <w:left w:w="0" w:type="dxa"/>
          <w:right w:w="0" w:type="dxa"/>
        </w:tblCellMar>
        <w:tblLook w:val="04A0"/>
      </w:tblPr>
      <w:tblGrid>
        <w:gridCol w:w="12263"/>
      </w:tblGrid>
      <w:tr w:rsidR="00E8401B" w:rsidRPr="00E8401B" w:rsidTr="00FB40F6">
        <w:trPr>
          <w:tblCellSpacing w:w="0" w:type="dxa"/>
        </w:trPr>
        <w:tc>
          <w:tcPr>
            <w:tcW w:w="12263" w:type="dxa"/>
            <w:tcMar>
              <w:top w:w="0" w:type="dxa"/>
              <w:left w:w="0" w:type="dxa"/>
              <w:bottom w:w="0" w:type="dxa"/>
              <w:right w:w="313" w:type="dxa"/>
            </w:tcMar>
            <w:hideMark/>
          </w:tcPr>
          <w:p w:rsidR="00E8401B" w:rsidRPr="00E8401B" w:rsidRDefault="00E8401B" w:rsidP="00E840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99"/>
                <w:sz w:val="18"/>
                <w:szCs w:val="18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" name="Рисунок 3" descr="http://pedsovet.org/images/M_images/print.gif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sovet.org/images/M_images/print.gif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01B" w:rsidRPr="00E8401B" w:rsidRDefault="00E8401B" w:rsidP="00E8401B">
            <w:pPr>
              <w:spacing w:line="264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Приемы активизации устной речи учащихся на уроках английского языка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"/>
              <w:gridCol w:w="11806"/>
            </w:tblGrid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before="63" w:after="15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401B" w:rsidRPr="00E8401B" w:rsidTr="00E8401B">
              <w:trPr>
                <w:tblCellSpacing w:w="0" w:type="dxa"/>
              </w:trPr>
              <w:tc>
                <w:tcPr>
                  <w:tcW w:w="142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6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E8401B" w:rsidRPr="00E8401B" w:rsidRDefault="00E8401B" w:rsidP="00E840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8401B" w:rsidRPr="00E8401B" w:rsidRDefault="00086871" w:rsidP="00086871">
            <w:pPr>
              <w:spacing w:after="150" w:line="240" w:lineRule="auto"/>
              <w:ind w:left="-1134" w:firstLine="14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 часто </w:t>
            </w:r>
            <w:r w:rsidR="00E8401B"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сталкиваю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сь </w:t>
            </w:r>
            <w:r w:rsidR="00E8401B"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проблемой «молчания учеников» на уроках развития навыков говорения. Современные педагогические технологии предполагают изменения учебной ситуации таким образом, чтобы учитель из «непререкаемого авторитета» стал внимательным и заинтересованным собеседником и соучастником процесса познания. Коммуникативная методика, как одна из современных методик, обучения английскому языку способствует тому, чтобы учитель был не только носителем информации, но и наблюдателем и консультантом.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языковой области целью обучения иностранному языку при коммуникативной методике предполагается обучение общению на иностранном языке в устной и письменной форме в рамках речевой ситуации. 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известно, способом устно-речевого общения является говорение. Цель обучения говорению в школе есть развитие у учащихся способности в соответствии с их реальными потребностями и интересами осуществлять устное речевое общение в разнообразных ситуациях.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учителя в создании условий, которые способствовали бы общению учащихся. Для этого учитель должен учитывать специфические признаки данного вида речевой деятельности, такие как: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мотивированность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целенаправленность, активность, связь с личностью и мыслительной деятельностью человека,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эвристичность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самостоятельность, темп и ситуативность. Если есть цели и мотивы общения, учтены характерные особенности участников общения, их возраст, уровень развития и т.д., то общения в рамках какой-либо речевой ситуации, безусловно, состоится. 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создания данных условий в процессе обучения английскому языку я использую приемы активизации, которые учитывают все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выше перечисленные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признаки устного речевого вида деятельности. Преимущества этих приемов в том, что учащиеся, активно участвуя в процессе обучения, начинают обдумывать, вспоминать, использовать изученный языковой материал.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Лучшими приемами активизации устной речи учащихся, на мой взгляд, являются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приемы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взаимодействия человека с человеком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,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т.е. интерактивные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приемы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лово «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интерактив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произошло от английского слова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interact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что значит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interact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 «взаимный»,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act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»- действовать. Данные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приемы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предполагают взаимодействие субъектов образовательного процесса на уровне «равный -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равному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», где учитель и участник занятия – часть одной команды, они работают для достижения одной цели. Интерактивные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приемы</w:t>
            </w:r>
            <w:r w:rsidR="00C209A8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способствуют организации комфортных условий обучения, при которых все ученики активно взаимодействуют между собой.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 xml:space="preserve"> Их </w:t>
            </w:r>
            <w:r w:rsidR="00C209A8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использование</w:t>
            </w:r>
            <w:r w:rsidR="00C209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предполагает моделирование жизненных ситуаций, ролевых игр , общее решение вопросов на основании анализа обстоятельств и ситуации.</w:t>
            </w:r>
          </w:p>
          <w:p w:rsidR="00E8401B" w:rsidRDefault="00E8401B" w:rsidP="00E840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Далее предлагаются приемы, которые используются мною для активизации учащихся на уроках развития навыков говорения.</w:t>
            </w:r>
          </w:p>
          <w:p w:rsidR="00C209A8" w:rsidRDefault="00C209A8" w:rsidP="00E840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</w:pPr>
          </w:p>
          <w:p w:rsidR="00C209A8" w:rsidRDefault="00C209A8" w:rsidP="00E840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</w:pPr>
          </w:p>
          <w:p w:rsidR="00C209A8" w:rsidRPr="00E8401B" w:rsidRDefault="00C209A8" w:rsidP="00C2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209A8" w:rsidRPr="00E8401B" w:rsidRDefault="00C209A8" w:rsidP="00C2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Приемы активизации устно-речевых высказываний при выполнении творческих заданий.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09A8" w:rsidRPr="00E8401B" w:rsidRDefault="00C209A8" w:rsidP="00C20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творческим заданиям при коммуникативной методике обучения английскому языку относят интерактивные ролевые игры и открытые обсуждения. На мой взгляд, использование их – удачный прием активизации учеников старших классов для побуждения их к устному высказыванию. </w:t>
            </w:r>
          </w:p>
          <w:p w:rsidR="00C209A8" w:rsidRPr="00E8401B" w:rsidRDefault="00C209A8" w:rsidP="00C20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изучении темы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Education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в рамках речевой ситуации «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ChoosingSchools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», в которой ученики знакомятся с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традиционными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альтернативными школам, которые существуют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зарубежом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после выполнения упражнений, формирующих лексико-грамматические навыки и заданий на развитие навыков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им предлагается обсудить и выяснить: «Какая школа лучше: традиционная или альтернативная?» </w:t>
            </w:r>
          </w:p>
          <w:p w:rsidR="00C209A8" w:rsidRPr="00E8401B" w:rsidRDefault="00C209A8" w:rsidP="00C20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этого, им предлагается разделиться на две команды, поддерживающие разные типы школ; дается время, чтобы они приготовили утверждения «за» свою школу и «против» школы оппонентов. Объявляется регламент, что в течение десяти минут будет идти обсуждение, ставится цель: «Убедить своих оппонентов, что школа своей команды лучше». 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C209A8" w:rsidRPr="00E8401B" w:rsidTr="003B5E2D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For a traditional school </w:t>
                  </w:r>
                </w:p>
              </w:tc>
              <w:tc>
                <w:tcPr>
                  <w:tcW w:w="4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For an alternative school </w:t>
                  </w:r>
                </w:p>
              </w:tc>
            </w:tr>
            <w:tr w:rsidR="00C209A8" w:rsidRPr="00E8401B" w:rsidTr="003B5E2D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Our school is big and it’s in the centre of the city. So you can make a lot of friends and easily get to school.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C209A8" w:rsidP="003B5E2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C209A8" w:rsidRPr="00E8401B" w:rsidTr="003B5E2D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C209A8" w:rsidP="003B5E2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Our school is small and it’s situated in the lovely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lastRenderedPageBreak/>
                    <w:t xml:space="preserve">place in the forest. It’s so cozy and we can smell fresh air. </w:t>
                  </w:r>
                </w:p>
              </w:tc>
            </w:tr>
            <w:tr w:rsidR="00C209A8" w:rsidRPr="00E8401B" w:rsidTr="003B5E2D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C209A8" w:rsidP="003B5E2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lastRenderedPageBreak/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Teachers don’t give us any home task. We can choose lessons which we should attend. Each of us has own program of studying. </w:t>
                  </w:r>
                </w:p>
              </w:tc>
            </w:tr>
            <w:tr w:rsidR="00C209A8" w:rsidRPr="00E8401B" w:rsidTr="003B5E2D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9A8" w:rsidRPr="00E8401B" w:rsidRDefault="00C209A8" w:rsidP="003B5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That’snotserious</w:t>
                  </w:r>
                  <w:proofErr w:type="spellEnd"/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. When you are it’s important to controlled and leaded. etc.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C209A8" w:rsidP="003B5E2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etc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C209A8" w:rsidRPr="00E8401B" w:rsidRDefault="00C209A8" w:rsidP="00C209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процессе обсуждения учитель фиксирует на доске баллы за убедительные доводы каждой команды. После завершения обсуждения задается вопрос: «Есть ли такие члены команды, кого убедили соперники, и он хотел к ним присоединиться?», и подводится итог по количеству доводов. Затем учитель дает анализ ошибкам, которые встретились при обсуждении. </w:t>
            </w:r>
          </w:p>
          <w:p w:rsidR="00C209A8" w:rsidRDefault="00C209A8" w:rsidP="00E840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</w:pPr>
          </w:p>
          <w:p w:rsidR="00C209A8" w:rsidRDefault="00C209A8" w:rsidP="00E8401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</w:pPr>
          </w:p>
          <w:p w:rsidR="00C209A8" w:rsidRPr="00E8401B" w:rsidRDefault="00C209A8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Приемы закрепления грамматических структур в устной речи учеников. 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 время изучения грамматики одной из основных целей является формирование умения учеников использовать грамматические структуры в речи.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пол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 xml:space="preserve">зование мини-диалогов, содержащих личностно ориентированые вопросы -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из эффективных способов добиться этого.</w:t>
            </w:r>
          </w:p>
          <w:p w:rsidR="00E8401B" w:rsidRPr="00E8401B" w:rsidRDefault="00E8401B" w:rsidP="00E8401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а) Например, при отработке вопросительных форм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PresentPerfect</w:t>
            </w:r>
            <w:proofErr w:type="spellEnd"/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предлагается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следующее задание: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 xml:space="preserve">Ученик 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tt-RU" w:eastAsia="ru-RU"/>
              </w:rPr>
              <w:t>А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>должен описать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свое состояние, остальные ученики (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  <w:proofErr w:type="gramEnd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, Р2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выясняют, почему он себя так чувствует, составляя общие вопросы в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PresentPerfect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».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tt-RU" w:eastAsia="ru-RU"/>
              </w:rPr>
              <w:t xml:space="preserve">В качестве опор предлагаются слова и выражения: 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92"/>
            </w:tblGrid>
            <w:tr w:rsidR="00E8401B" w:rsidRPr="00E8401B" w:rsidTr="00E8401B">
              <w:tc>
                <w:tcPr>
                  <w:tcW w:w="86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Key words </w:t>
                  </w:r>
                </w:p>
              </w:tc>
            </w:tr>
            <w:tr w:rsidR="00E8401B" w:rsidRPr="00E8401B" w:rsidTr="00E8401B">
              <w:tc>
                <w:tcPr>
                  <w:tcW w:w="8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Feelings: happy, sad, angry, excited, worried, pleased, tired </w:t>
                  </w:r>
                </w:p>
              </w:tc>
            </w:tr>
            <w:tr w:rsidR="00E8401B" w:rsidRPr="00E8401B" w:rsidTr="00E8401B">
              <w:tc>
                <w:tcPr>
                  <w:tcW w:w="8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Reasons: pass exams, win the lottery, break the video, fail exams, received bad news, lose tennis match, go to a party, have an argument with a friend, lose wallet, sleep badly, buy new clothes </w:t>
                  </w:r>
                </w:p>
              </w:tc>
            </w:tr>
          </w:tbl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задания.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А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’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happy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1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Have you won the lottery?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No, I haven’t.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2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Have you bought new clothes?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No, I haven’t.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3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Have you passed exams?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Yes, I have.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Now P4’s turn to say about his feelings.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Данный же прием можно использовать при отработке вопросительной формы с местоимениями 3 лица единственного числа: «Ученик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</w:t>
            </w:r>
            <w:proofErr w:type="gramEnd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говорит ученику 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B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своем состоянии, остальные расспрашивают ученика 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составляя вопросы в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PresentPerfect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местоимениями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he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she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it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B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She is tired.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P1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Has she gone to the party?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B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No, she hasn’t.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P2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Has she slept badly?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 xml:space="preserve">B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Yes, she has. Now it’s turn your turn.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Приемы активизации использования эмоционально-окрашенных выражений взаимодействия при обучении диалогической речи. </w:t>
            </w:r>
          </w:p>
          <w:p w:rsidR="00E8401B" w:rsidRPr="00E8401B" w:rsidRDefault="00E8401B" w:rsidP="00FB40F6">
            <w:pPr>
              <w:tabs>
                <w:tab w:val="left" w:pos="11199"/>
              </w:tabs>
              <w:spacing w:after="15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Любой учитель английского языка стремится не только научить говорить ученика на языке, но и работает над обогащением речи учащихся. Оценочн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эмоциональные выражения украшают речь и помогают высказать мысль в интересной форме. Для того чтобы ученики овладели данными выражениями и использовали их в своей речи, я использую следующие приемы: </w:t>
            </w:r>
          </w:p>
          <w:p w:rsidR="00E8401B" w:rsidRPr="00E8401B" w:rsidRDefault="00E8401B" w:rsidP="00E84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ученики читают выражения «Согласия и несогласия»: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</w:tblGrid>
            <w:tr w:rsidR="00E8401B" w:rsidRPr="00E8401B" w:rsidTr="00E8401B">
              <w:trPr>
                <w:trHeight w:val="2236"/>
              </w:trPr>
              <w:tc>
                <w:tcPr>
                  <w:tcW w:w="5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val="en-US" w:eastAsia="ru-RU"/>
                    </w:rPr>
                    <w:t xml:space="preserve">Agreeing and disagreeing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Oh, come off it!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OK, but…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You are dead right.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Absolutely.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That’s true.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You’ve got a point there.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I suppose … but…</w:t>
                  </w:r>
                </w:p>
              </w:tc>
            </w:tr>
          </w:tbl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классифицируют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группы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«Statements which show strong agreement (++), limited agreement (+), and disagreement (-)»: </w:t>
            </w:r>
          </w:p>
          <w:p w:rsidR="00E8401B" w:rsidRPr="00E8401B" w:rsidRDefault="00E8401B" w:rsidP="00E84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36"/>
              <w:gridCol w:w="2637"/>
              <w:gridCol w:w="2637"/>
            </w:tblGrid>
            <w:tr w:rsidR="00E8401B" w:rsidRPr="00E8401B" w:rsidTr="00E8401B">
              <w:tc>
                <w:tcPr>
                  <w:tcW w:w="2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++ </w:t>
                  </w:r>
                </w:p>
              </w:tc>
              <w:tc>
                <w:tcPr>
                  <w:tcW w:w="2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+ </w:t>
                  </w:r>
                </w:p>
              </w:tc>
              <w:tc>
                <w:tcPr>
                  <w:tcW w:w="2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- </w:t>
                  </w:r>
                </w:p>
              </w:tc>
            </w:tr>
            <w:tr w:rsidR="00E8401B" w:rsidRPr="00E8401B" w:rsidTr="00E8401B">
              <w:trPr>
                <w:trHeight w:val="1160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You are dead right.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Absolutely.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That’s true. 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OK, but…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You’ve got a point there. I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suppose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…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but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Oh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come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off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it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! </w:t>
                  </w:r>
                </w:p>
              </w:tc>
            </w:tr>
          </w:tbl>
          <w:p w:rsidR="00E8401B" w:rsidRPr="00E8401B" w:rsidRDefault="00E8401B" w:rsidP="00E84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в) добавляют свои собственные выражения. На данном этапе используется прием «мозгового штурма», в процессе которого любой ученик предлагает свои идеи, любая идея принимается и обсуждается.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36"/>
              <w:gridCol w:w="2637"/>
              <w:gridCol w:w="2637"/>
            </w:tblGrid>
            <w:tr w:rsidR="00E8401B" w:rsidRPr="00E8401B" w:rsidTr="00E8401B">
              <w:trPr>
                <w:trHeight w:val="392"/>
              </w:trPr>
              <w:tc>
                <w:tcPr>
                  <w:tcW w:w="2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++</w:t>
                  </w:r>
                </w:p>
              </w:tc>
              <w:tc>
                <w:tcPr>
                  <w:tcW w:w="2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+</w:t>
                  </w:r>
                </w:p>
              </w:tc>
              <w:tc>
                <w:tcPr>
                  <w:tcW w:w="2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-</w:t>
                  </w:r>
                </w:p>
              </w:tc>
            </w:tr>
            <w:tr w:rsidR="00E8401B" w:rsidRPr="00E8401B" w:rsidTr="00E8401B">
              <w:trPr>
                <w:trHeight w:val="985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Nice idea.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I quite agree with you. 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You are right, but…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Yes, but on the other hand… 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You are wrong, I’m afraid. </w:t>
                  </w:r>
                </w:p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</w:tbl>
          <w:p w:rsidR="00E8401B" w:rsidRPr="00E8401B" w:rsidRDefault="00E8401B" w:rsidP="00E84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г) затем выражения отрабатываются в диалоге в рамках какой-либо речевой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10"/>
            </w:tblGrid>
            <w:tr w:rsidR="00E8401B" w:rsidRPr="00E8401B" w:rsidTr="00E8401B">
              <w:trPr>
                <w:trHeight w:val="845"/>
              </w:trPr>
              <w:tc>
                <w:tcPr>
                  <w:tcW w:w="3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before="120"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Действия учеников.</w:t>
                  </w:r>
                </w:p>
              </w:tc>
            </w:tr>
          </w:tbl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ситуации, где используются личностно ориентированные вопросы. При выполнении данного задания можно использовать мяч.</w:t>
            </w:r>
            <w:r w:rsidRPr="00E840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</w:t>
            </w: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ru-RU"/>
              </w:rPr>
              <w:t>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The situation is “Celebrities”. During our game we use a ball.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Your task is to catch a ball, listen to my statement and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react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using expressions.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Let’s begin. To my mind Britney Spears is the best singers in the world.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ru-RU"/>
              </w:rPr>
              <w:t>You’ve got a point there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But as for me Valeria is the best.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think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Ronaldo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is very bad football player.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ru-RU"/>
              </w:rPr>
              <w:t>You are wrong, I’m afraid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He is considered to be one of the talented ones.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All talented actors are from Russia.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ru-RU"/>
              </w:rPr>
              <w:t xml:space="preserve">OK, but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some foreign actors are not bad too.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The cleverest pupils study at our school.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ru-RU"/>
              </w:rPr>
              <w:t>You are dead right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Приемы активизации устно-речевых высказываний при выполнении творческих заданий.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творческим заданиям при коммуникативной методике обучения английскому языку относят интерактивные ролевые игры и открытые обсуждения. На мой взгляд, использование их – удачный прием активизации учеников старших классов для побуждения их к устному высказыванию. </w:t>
            </w:r>
          </w:p>
          <w:p w:rsidR="00E8401B" w:rsidRPr="00E8401B" w:rsidRDefault="00E8401B" w:rsidP="00E840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изучении темы «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Education</w:t>
            </w: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в рамках речевой ситуации «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ChoosingSchools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», в которой ученики знакомятся с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традиционными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альтернативными школам, которые существуют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зарубежом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после выполнения упражнений, формирующих лексико-грамматические навыки и заданий на развитие навыков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им предлагается обсудить и выяснить: «Какая школа лучше: традиционная или альтернативная?» </w:t>
            </w:r>
          </w:p>
          <w:p w:rsidR="00E8401B" w:rsidRPr="00E8401B" w:rsidRDefault="00E8401B" w:rsidP="00E840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этого, им предлагается разделиться на две команды, поддерживающие разные типы школ; дается время, чтобы они приготовили утверждения «за» свою школу и «против» школы оппонентов. Объявляется регламент, что в течение десяти минут будет идти обсуждение, ставится цель: «Убедить своих оппонентов, что школа своей команды лучше». </w:t>
            </w:r>
          </w:p>
          <w:tbl>
            <w:tblPr>
              <w:tblW w:w="0" w:type="auto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E8401B" w:rsidRPr="00E8401B" w:rsidTr="00E8401B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For a traditional school </w:t>
                  </w:r>
                </w:p>
              </w:tc>
              <w:tc>
                <w:tcPr>
                  <w:tcW w:w="4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For an alternative school </w:t>
                  </w:r>
                </w:p>
              </w:tc>
            </w:tr>
            <w:tr w:rsidR="00E8401B" w:rsidRPr="00E8401B" w:rsidTr="00E8401B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Our school is big and it’s in the centre of the city. So you can make a lot of friends and easily get to school.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E8401B" w:rsidRPr="00E8401B" w:rsidTr="00E8401B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Our school is small and it’s situated in the lovely place in the forest. It’s so cozy and we can smell fresh air. </w:t>
                  </w:r>
                </w:p>
              </w:tc>
            </w:tr>
            <w:tr w:rsidR="00E8401B" w:rsidRPr="00E8401B" w:rsidTr="00E8401B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Teachers don’t give us any home task. We can choose lessons which we should attend. Each of us has own program of studying. </w:t>
                  </w:r>
                </w:p>
              </w:tc>
            </w:tr>
            <w:tr w:rsidR="00E8401B" w:rsidRPr="00E8401B" w:rsidTr="00E8401B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That’snotserious</w:t>
                  </w:r>
                  <w:proofErr w:type="spellEnd"/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. When you are it’s important to controlled and leaded. etc.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401B" w:rsidRPr="00E8401B" w:rsidRDefault="00E8401B" w:rsidP="00E8401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etc</w:t>
                  </w:r>
                  <w:r w:rsidRPr="00E840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E8401B" w:rsidRPr="00E8401B" w:rsidRDefault="00E8401B" w:rsidP="00E840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процессе обсуждения учитель фиксирует на доске баллы за убедительные доводы каждой команды. После завершения обсуждения задается вопрос: «Есть ли такие члены команды, кого убедили соперники, и он хотел к ним присоединиться?», и подводится итог по количеству доводов. Затем учитель дает анализ ошибкам, которые встретились при обсуждении. </w:t>
            </w:r>
          </w:p>
          <w:p w:rsidR="00E8401B" w:rsidRPr="00E8401B" w:rsidRDefault="00E8401B" w:rsidP="00E840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выше перечисленные</w:t>
            </w:r>
            <w:proofErr w:type="gram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приемы способствуют взаимодействию между собой участников образовательного процесса, т.е. являются интерактивными. </w:t>
            </w:r>
            <w:proofErr w:type="gram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во время использования данных приемов на уроке является равным среди равных: он может задавать вопросы, предлагать ответы, делать предположения, высказывать свое мнение.</w:t>
            </w:r>
            <w:proofErr w:type="gramEnd"/>
          </w:p>
          <w:p w:rsidR="00E8401B" w:rsidRPr="00E8401B" w:rsidRDefault="00E8401B" w:rsidP="00E8401B">
            <w:pPr>
              <w:spacing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приемы мотивируют на устно-речевое высказывание, так как перед учениками есть цель; учащиеся активны при их выполнении, так как присутствует связь с личностью и мыслительной деятельностью ученика. В данных приемах есть элемент неожиданности и </w:t>
            </w:r>
            <w:proofErr w:type="spellStart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эврестичности</w:t>
            </w:r>
            <w:proofErr w:type="spellEnd"/>
            <w:r w:rsidRPr="00E84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Соревновательный дух, умение быть самостоятельными в тоже время работать в группе вызывает интерес учащихся и желание высказаться или поговорить на английском языке. </w:t>
            </w:r>
          </w:p>
        </w:tc>
      </w:tr>
    </w:tbl>
    <w:p w:rsidR="00B15C1F" w:rsidRDefault="00FB40F6"/>
    <w:sectPr w:rsidR="00B15C1F" w:rsidSect="0019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abstractNum w:abstractNumId="0">
    <w:nsid w:val="17A95D5E"/>
    <w:multiLevelType w:val="multilevel"/>
    <w:tmpl w:val="62560E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8401B"/>
    <w:rsid w:val="00086871"/>
    <w:rsid w:val="001964C5"/>
    <w:rsid w:val="00476558"/>
    <w:rsid w:val="00C209A8"/>
    <w:rsid w:val="00D6579A"/>
    <w:rsid w:val="00D74EBC"/>
    <w:rsid w:val="00E8401B"/>
    <w:rsid w:val="00FB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C5"/>
  </w:style>
  <w:style w:type="paragraph" w:styleId="1">
    <w:name w:val="heading 1"/>
    <w:basedOn w:val="a"/>
    <w:link w:val="10"/>
    <w:uiPriority w:val="9"/>
    <w:qFormat/>
    <w:rsid w:val="00E8401B"/>
    <w:pPr>
      <w:spacing w:after="15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1B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E8401B"/>
    <w:rPr>
      <w:color w:val="006699"/>
      <w:u w:val="single"/>
    </w:rPr>
  </w:style>
  <w:style w:type="character" w:styleId="a4">
    <w:name w:val="Strong"/>
    <w:basedOn w:val="a0"/>
    <w:uiPriority w:val="22"/>
    <w:qFormat/>
    <w:rsid w:val="00E8401B"/>
    <w:rPr>
      <w:b/>
      <w:bCs/>
    </w:rPr>
  </w:style>
  <w:style w:type="paragraph" w:styleId="a5">
    <w:name w:val="Normal (Web)"/>
    <w:basedOn w:val="a"/>
    <w:uiPriority w:val="99"/>
    <w:unhideWhenUsed/>
    <w:rsid w:val="00E8401B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avoured">
    <w:name w:val="favoured"/>
    <w:basedOn w:val="a0"/>
    <w:rsid w:val="00E8401B"/>
  </w:style>
  <w:style w:type="character" w:customStyle="1" w:styleId="smalldate">
    <w:name w:val="smalldate"/>
    <w:basedOn w:val="a0"/>
    <w:rsid w:val="00E8401B"/>
    <w:rPr>
      <w:b/>
      <w:bCs/>
      <w:color w:val="FFFFFF"/>
      <w:shd w:val="clear" w:color="auto" w:fill="BBBBBB"/>
    </w:rPr>
  </w:style>
  <w:style w:type="character" w:customStyle="1" w:styleId="author">
    <w:name w:val="author"/>
    <w:basedOn w:val="a0"/>
    <w:rsid w:val="00E8401B"/>
  </w:style>
  <w:style w:type="character" w:customStyle="1" w:styleId="comments">
    <w:name w:val="comments"/>
    <w:basedOn w:val="a0"/>
    <w:rsid w:val="00E8401B"/>
  </w:style>
  <w:style w:type="character" w:customStyle="1" w:styleId="date1">
    <w:name w:val="date1"/>
    <w:basedOn w:val="a0"/>
    <w:rsid w:val="00E8401B"/>
    <w:rPr>
      <w:b/>
      <w:bCs/>
      <w:color w:val="FFFFFF"/>
      <w:shd w:val="clear" w:color="auto" w:fill="BBBBBB"/>
    </w:rPr>
  </w:style>
  <w:style w:type="character" w:customStyle="1" w:styleId="sublevel">
    <w:name w:val="sublevel"/>
    <w:basedOn w:val="a0"/>
    <w:rsid w:val="00E8401B"/>
  </w:style>
  <w:style w:type="character" w:customStyle="1" w:styleId="icon1">
    <w:name w:val="icon1"/>
    <w:basedOn w:val="a0"/>
    <w:rsid w:val="00E8401B"/>
  </w:style>
  <w:style w:type="paragraph" w:styleId="a6">
    <w:name w:val="Balloon Text"/>
    <w:basedOn w:val="a"/>
    <w:link w:val="a7"/>
    <w:uiPriority w:val="99"/>
    <w:semiHidden/>
    <w:unhideWhenUsed/>
    <w:rsid w:val="00E8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08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26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40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void%20window.open('http://pedsovet.org/index2.php?option=com_mtree&amp;task=print&amp;link_id=3395&amp;Itemid=118',%20'win2',%20'status=no,toolbar=no,scrollbars=yes,titlebar=no,menubar=no,resizable=yes,width=640,height=480,directories=no,location=no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2014-04-09T18:50:00Z</cp:lastPrinted>
  <dcterms:created xsi:type="dcterms:W3CDTF">2014-04-09T17:42:00Z</dcterms:created>
  <dcterms:modified xsi:type="dcterms:W3CDTF">2014-04-09T18:55:00Z</dcterms:modified>
</cp:coreProperties>
</file>