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C4" w:rsidRPr="006C251D" w:rsidRDefault="007302C4" w:rsidP="006C251D">
      <w:pPr>
        <w:pStyle w:val="1"/>
        <w:shd w:val="clear" w:color="auto" w:fill="FFFFFF"/>
        <w:spacing w:before="120" w:beforeAutospacing="0" w:after="360" w:afterAutospacing="0"/>
        <w:contextualSpacing/>
        <w:rPr>
          <w:b w:val="0"/>
          <w:i/>
          <w:color w:val="0D0D0D" w:themeColor="text1" w:themeTint="F2"/>
          <w:sz w:val="28"/>
          <w:szCs w:val="28"/>
        </w:rPr>
      </w:pPr>
    </w:p>
    <w:p w:rsidR="008E6EBB" w:rsidRPr="006C251D" w:rsidRDefault="007302C4" w:rsidP="006C251D">
      <w:pPr>
        <w:pStyle w:val="1"/>
        <w:shd w:val="clear" w:color="auto" w:fill="FFFFFF"/>
        <w:spacing w:before="120" w:beforeAutospacing="0" w:after="360" w:afterAutospacing="0"/>
        <w:contextualSpacing/>
        <w:jc w:val="center"/>
        <w:rPr>
          <w:b w:val="0"/>
          <w:i/>
          <w:color w:val="0D0D0D" w:themeColor="text1" w:themeTint="F2"/>
          <w:sz w:val="28"/>
          <w:szCs w:val="28"/>
        </w:rPr>
      </w:pPr>
      <w:r w:rsidRPr="006C251D">
        <w:rPr>
          <w:b w:val="0"/>
          <w:i/>
          <w:color w:val="0D0D0D" w:themeColor="text1" w:themeTint="F2"/>
          <w:sz w:val="28"/>
          <w:szCs w:val="28"/>
        </w:rPr>
        <w:t xml:space="preserve">Доклад по теме: </w:t>
      </w:r>
      <w:r w:rsidR="008E6EBB" w:rsidRPr="006C251D">
        <w:rPr>
          <w:b w:val="0"/>
          <w:i/>
          <w:color w:val="0D0D0D" w:themeColor="text1" w:themeTint="F2"/>
          <w:sz w:val="28"/>
          <w:szCs w:val="28"/>
        </w:rPr>
        <w:t>Формирование ключевых компетентностей учащихся</w:t>
      </w:r>
    </w:p>
    <w:p w:rsidR="007302C4" w:rsidRPr="006C251D" w:rsidRDefault="007302C4" w:rsidP="006C251D">
      <w:pPr>
        <w:pStyle w:val="1"/>
        <w:shd w:val="clear" w:color="auto" w:fill="FFFFFF"/>
        <w:spacing w:before="120" w:beforeAutospacing="0" w:after="360" w:afterAutospacing="0"/>
        <w:contextualSpacing/>
        <w:jc w:val="center"/>
        <w:rPr>
          <w:b w:val="0"/>
          <w:i/>
          <w:color w:val="0D0D0D" w:themeColor="text1" w:themeTint="F2"/>
          <w:sz w:val="28"/>
          <w:szCs w:val="28"/>
        </w:rPr>
      </w:pPr>
      <w:r w:rsidRPr="006C251D">
        <w:rPr>
          <w:b w:val="0"/>
          <w:i/>
          <w:color w:val="0D0D0D" w:themeColor="text1" w:themeTint="F2"/>
          <w:sz w:val="28"/>
          <w:szCs w:val="28"/>
        </w:rPr>
        <w:t>Подготовил: Акатов Д.В.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466"/>
      </w:tblGrid>
      <w:tr w:rsidR="008E6EBB" w:rsidRPr="006C251D" w:rsidTr="008E6EBB">
        <w:trPr>
          <w:jc w:val="center"/>
        </w:trPr>
        <w:tc>
          <w:tcPr>
            <w:tcW w:w="0" w:type="auto"/>
            <w:vAlign w:val="center"/>
            <w:hideMark/>
          </w:tcPr>
          <w:p w:rsidR="008E6EBB" w:rsidRPr="006C251D" w:rsidRDefault="008E6EBB" w:rsidP="006C251D">
            <w:pPr>
              <w:pStyle w:val="a3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i/>
                <w:iCs/>
                <w:color w:val="0D0D0D" w:themeColor="text1" w:themeTint="F2"/>
                <w:sz w:val="28"/>
                <w:szCs w:val="28"/>
              </w:rPr>
              <w:t>“Мы слишком часто даем детям ответы, которые надо выучить, а не ставим передними проблемы, которые надо решить”.</w:t>
            </w:r>
          </w:p>
          <w:p w:rsidR="008E6EBB" w:rsidRPr="006C251D" w:rsidRDefault="008E6EBB" w:rsidP="006C251D">
            <w:pPr>
              <w:pStyle w:val="a3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Роджер Левин</w:t>
            </w:r>
          </w:p>
        </w:tc>
      </w:tr>
    </w:tbl>
    <w:p w:rsidR="00BE460C" w:rsidRPr="006C251D" w:rsidRDefault="008E6EBB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rStyle w:val="a5"/>
          <w:color w:val="0D0D0D" w:themeColor="text1" w:themeTint="F2"/>
          <w:sz w:val="28"/>
          <w:szCs w:val="28"/>
        </w:rPr>
      </w:pPr>
      <w:r w:rsidRPr="006C251D">
        <w:rPr>
          <w:rStyle w:val="a5"/>
          <w:color w:val="0D0D0D" w:themeColor="text1" w:themeTint="F2"/>
          <w:sz w:val="28"/>
          <w:szCs w:val="28"/>
        </w:rPr>
        <w:t xml:space="preserve">Цели образования 21 века, сформулированные Жаком </w:t>
      </w:r>
      <w:proofErr w:type="spellStart"/>
      <w:r w:rsidRPr="006C251D">
        <w:rPr>
          <w:rStyle w:val="a5"/>
          <w:color w:val="0D0D0D" w:themeColor="text1" w:themeTint="F2"/>
          <w:sz w:val="28"/>
          <w:szCs w:val="28"/>
        </w:rPr>
        <w:t>Делором:</w:t>
      </w:r>
      <w:proofErr w:type="spellEnd"/>
    </w:p>
    <w:p w:rsidR="00BE460C" w:rsidRPr="006C251D" w:rsidRDefault="008E6EBB" w:rsidP="006C251D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научиться познавать;</w:t>
      </w:r>
    </w:p>
    <w:p w:rsidR="00BE460C" w:rsidRPr="006C251D" w:rsidRDefault="008E6EBB" w:rsidP="006C251D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научиться делать;</w:t>
      </w:r>
    </w:p>
    <w:p w:rsidR="00BE460C" w:rsidRPr="006C251D" w:rsidRDefault="008E6EBB" w:rsidP="006C251D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научиться жить вместе;</w:t>
      </w:r>
    </w:p>
    <w:p w:rsidR="008E6EBB" w:rsidRPr="006C251D" w:rsidRDefault="009A6785" w:rsidP="006C251D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 xml:space="preserve">научиться жить - </w:t>
      </w:r>
      <w:r w:rsidR="00BE460C" w:rsidRPr="006C251D">
        <w:rPr>
          <w:color w:val="0D0D0D" w:themeColor="text1" w:themeTint="F2"/>
          <w:sz w:val="28"/>
          <w:szCs w:val="28"/>
        </w:rPr>
        <w:t>определил,</w:t>
      </w:r>
      <w:r w:rsidR="008E6EBB" w:rsidRPr="006C251D">
        <w:rPr>
          <w:color w:val="0D0D0D" w:themeColor="text1" w:themeTint="F2"/>
          <w:sz w:val="28"/>
          <w:szCs w:val="28"/>
        </w:rPr>
        <w:t xml:space="preserve"> по </w:t>
      </w:r>
      <w:r w:rsidR="00BE460C" w:rsidRPr="006C251D">
        <w:rPr>
          <w:color w:val="0D0D0D" w:themeColor="text1" w:themeTint="F2"/>
          <w:sz w:val="28"/>
          <w:szCs w:val="28"/>
        </w:rPr>
        <w:t>сути,</w:t>
      </w:r>
      <w:r w:rsidR="008E6EBB" w:rsidRPr="006C251D">
        <w:rPr>
          <w:color w:val="0D0D0D" w:themeColor="text1" w:themeTint="F2"/>
          <w:sz w:val="28"/>
          <w:szCs w:val="28"/>
        </w:rPr>
        <w:t xml:space="preserve"> основные глобальные компетентности.</w:t>
      </w:r>
    </w:p>
    <w:p w:rsidR="00BE460C" w:rsidRPr="006C251D" w:rsidRDefault="00BE460C" w:rsidP="006C251D">
      <w:pPr>
        <w:pStyle w:val="a3"/>
        <w:shd w:val="clear" w:color="auto" w:fill="FFFFFF"/>
        <w:spacing w:before="0" w:beforeAutospacing="0" w:after="360" w:afterAutospacing="0"/>
        <w:ind w:left="360"/>
        <w:contextualSpacing/>
        <w:rPr>
          <w:color w:val="0D0D0D" w:themeColor="text1" w:themeTint="F2"/>
          <w:sz w:val="28"/>
          <w:szCs w:val="28"/>
        </w:rPr>
      </w:pPr>
    </w:p>
    <w:p w:rsidR="008E6EBB" w:rsidRPr="006C251D" w:rsidRDefault="008E6EBB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Традиционно цели школьного образования определялись набором знаний, умений и навыков, которыми должен овладеть выпускник. Сегодня такой подход оказывается недостаточным сегодня социуму (профессиональным учебным заведениям, производству, семье) нужны не всезнайки и болтуны, а выпускники готовые к включению в дальнейшую жизнедеятельность, способные практически решать встающие перед ними жизненные и профессиональные проблемы. Сегодня главной задачей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решение.</w:t>
      </w:r>
    </w:p>
    <w:p w:rsidR="008E6EBB" w:rsidRPr="006C251D" w:rsidRDefault="008E6EBB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 xml:space="preserve">Главная задача современной системы образования – создание условий для качественного обучения. Внедрение </w:t>
      </w:r>
      <w:proofErr w:type="spellStart"/>
      <w:r w:rsidRPr="006C251D">
        <w:rPr>
          <w:color w:val="0D0D0D" w:themeColor="text1" w:themeTint="F2"/>
          <w:sz w:val="28"/>
          <w:szCs w:val="28"/>
        </w:rPr>
        <w:t>компетентностного</w:t>
      </w:r>
      <w:proofErr w:type="spellEnd"/>
      <w:r w:rsidRPr="006C251D">
        <w:rPr>
          <w:color w:val="0D0D0D" w:themeColor="text1" w:themeTint="F2"/>
          <w:sz w:val="28"/>
          <w:szCs w:val="28"/>
        </w:rPr>
        <w:t xml:space="preserve"> подхода – это важное условие повышения качества образования. По мнению современных педагогов, само 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времени.</w:t>
      </w:r>
    </w:p>
    <w:p w:rsidR="008E6EBB" w:rsidRPr="006C251D" w:rsidRDefault="008E6EBB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proofErr w:type="spellStart"/>
      <w:r w:rsidRPr="006C251D">
        <w:rPr>
          <w:color w:val="0D0D0D" w:themeColor="text1" w:themeTint="F2"/>
          <w:sz w:val="28"/>
          <w:szCs w:val="28"/>
        </w:rPr>
        <w:t>Компетентностный</w:t>
      </w:r>
      <w:proofErr w:type="spellEnd"/>
      <w:r w:rsidRPr="006C251D">
        <w:rPr>
          <w:color w:val="0D0D0D" w:themeColor="text1" w:themeTint="F2"/>
          <w:sz w:val="28"/>
          <w:szCs w:val="28"/>
        </w:rPr>
        <w:t xml:space="preserve"> подход в образовании связан с личностно-ориентированным и действующим подходами к образованию, поскольку касается личности ученика и может быть реализованным и проверенным только в процессе выполнения конкретным учеником определенного комплекса действий.</w:t>
      </w:r>
    </w:p>
    <w:p w:rsidR="008E6EBB" w:rsidRPr="006C251D" w:rsidRDefault="008E6EBB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В связи с этим в современном педагогическом процессе существенно возрастает роль профессионально компетентных педагогов к организуемой ими учебной деятельности учащихся.</w:t>
      </w:r>
    </w:p>
    <w:p w:rsidR="00BE460C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Компетенции “закладываются” в образовательный процесс посредством:</w:t>
      </w:r>
    </w:p>
    <w:p w:rsidR="00BE460C" w:rsidRPr="006C251D" w:rsidRDefault="009A6785" w:rsidP="006C251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Технологий;</w:t>
      </w:r>
    </w:p>
    <w:p w:rsidR="00BE460C" w:rsidRPr="006C251D" w:rsidRDefault="009A6785" w:rsidP="006C251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Содержания образования;</w:t>
      </w:r>
    </w:p>
    <w:p w:rsidR="00BE460C" w:rsidRPr="006C251D" w:rsidRDefault="009A6785" w:rsidP="006C251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Стиля жизни ОУ;</w:t>
      </w:r>
    </w:p>
    <w:p w:rsidR="009A6785" w:rsidRPr="006C251D" w:rsidRDefault="009A6785" w:rsidP="006C251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 xml:space="preserve">Типа взаимодействия между преподавателями и обучающимися и </w:t>
      </w:r>
      <w:proofErr w:type="gramStart"/>
      <w:r w:rsidRPr="006C251D">
        <w:rPr>
          <w:color w:val="0D0D0D" w:themeColor="text1" w:themeTint="F2"/>
          <w:sz w:val="28"/>
          <w:szCs w:val="28"/>
        </w:rPr>
        <w:t>между</w:t>
      </w:r>
      <w:proofErr w:type="gramEnd"/>
      <w:r w:rsidRPr="006C251D">
        <w:rPr>
          <w:color w:val="0D0D0D" w:themeColor="text1" w:themeTint="F2"/>
          <w:sz w:val="28"/>
          <w:szCs w:val="28"/>
        </w:rPr>
        <w:t xml:space="preserve"> обучающимися.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 Итак, что такое “компетенция” и “компетентность”?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rStyle w:val="a5"/>
          <w:color w:val="0D0D0D" w:themeColor="text1" w:themeTint="F2"/>
          <w:sz w:val="28"/>
          <w:szCs w:val="28"/>
        </w:rPr>
        <w:t>Компетенция</w:t>
      </w:r>
      <w:r w:rsidRPr="006C251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6C251D">
        <w:rPr>
          <w:color w:val="0D0D0D" w:themeColor="text1" w:themeTint="F2"/>
          <w:sz w:val="28"/>
          <w:szCs w:val="28"/>
        </w:rPr>
        <w:t xml:space="preserve">– 1) круг вопросов, в которых кто-нибудь хорошо осведомлен; 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2) круг чьих-то полномочий, прав.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rStyle w:val="a5"/>
          <w:color w:val="0D0D0D" w:themeColor="text1" w:themeTint="F2"/>
          <w:sz w:val="28"/>
          <w:szCs w:val="28"/>
        </w:rPr>
        <w:t>Компетентный</w:t>
      </w:r>
      <w:r w:rsidRPr="006C251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6C251D">
        <w:rPr>
          <w:color w:val="0D0D0D" w:themeColor="text1" w:themeTint="F2"/>
          <w:sz w:val="28"/>
          <w:szCs w:val="28"/>
        </w:rPr>
        <w:t>– 1) знающий, осведомленный; авторитетный в определенной отрасли; 2) специалист, владеющий компетентностью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rStyle w:val="a5"/>
          <w:color w:val="0D0D0D" w:themeColor="text1" w:themeTint="F2"/>
          <w:sz w:val="28"/>
          <w:szCs w:val="28"/>
        </w:rPr>
        <w:lastRenderedPageBreak/>
        <w:t>Компетенция</w:t>
      </w:r>
      <w:r w:rsidRPr="006C251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6C251D">
        <w:rPr>
          <w:color w:val="0D0D0D" w:themeColor="text1" w:themeTint="F2"/>
          <w:sz w:val="28"/>
          <w:szCs w:val="28"/>
        </w:rPr>
        <w:t>– это круг вопросов, явлений, в которых человек обладает авторитетностью, познанием, опытом.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Например: образовательная компетенция учащихся, педагогическая компетенция учителя, медицинская компетенция врача и т.д.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Другими словами, компетентность – это способность установить и реализовать связь между “знанием – умением” и ситуацией.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Компетентность является сложным образованием, интегрированным результатом обучения, выделяют виды или направления компетентностей. Их можно разделить на три группы.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1.</w:t>
      </w:r>
      <w:r w:rsidRPr="006C251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6C251D">
        <w:rPr>
          <w:rStyle w:val="a5"/>
          <w:color w:val="0D0D0D" w:themeColor="text1" w:themeTint="F2"/>
          <w:sz w:val="28"/>
          <w:szCs w:val="28"/>
        </w:rPr>
        <w:t>Социальные компетентности</w:t>
      </w:r>
      <w:r w:rsidRPr="006C251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6C251D">
        <w:rPr>
          <w:color w:val="0D0D0D" w:themeColor="text1" w:themeTint="F2"/>
          <w:sz w:val="28"/>
          <w:szCs w:val="28"/>
        </w:rPr>
        <w:t>связаны с окружением, жизнью общества, социальной деятельностью личности (способность к сотрудничеству, умение решать проблемы в различных жизненных ситуациях, навыки взаимопонимания, социальные и общественные ценности и умения, коммуникационные навыки, мобильность в разных социальных условиях).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2.</w:t>
      </w:r>
      <w:r w:rsidRPr="006C251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6C251D">
        <w:rPr>
          <w:rStyle w:val="a5"/>
          <w:color w:val="0D0D0D" w:themeColor="text1" w:themeTint="F2"/>
          <w:sz w:val="28"/>
          <w:szCs w:val="28"/>
        </w:rPr>
        <w:t>Мотивационные компетентности</w:t>
      </w:r>
      <w:r w:rsidRPr="006C251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6C251D">
        <w:rPr>
          <w:color w:val="0D0D0D" w:themeColor="text1" w:themeTint="F2"/>
          <w:sz w:val="28"/>
          <w:szCs w:val="28"/>
        </w:rPr>
        <w:t>связаны с внутренней мотивацией, интересами, индивидуальным выбором личности (способность к обучению, изобретательность, навыки адаптироваться и быть мобильным, умение достигать успехов в жизни, интересы и внутренняя мотивация личности, практические способности, умения делать собственный выбор).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3.</w:t>
      </w:r>
      <w:r w:rsidRPr="006C251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6C251D">
        <w:rPr>
          <w:rStyle w:val="a5"/>
          <w:color w:val="0D0D0D" w:themeColor="text1" w:themeTint="F2"/>
          <w:sz w:val="28"/>
          <w:szCs w:val="28"/>
        </w:rPr>
        <w:t>Функциональные компетентности</w:t>
      </w:r>
      <w:r w:rsidRPr="006C251D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6C251D">
        <w:rPr>
          <w:color w:val="0D0D0D" w:themeColor="text1" w:themeTint="F2"/>
          <w:sz w:val="28"/>
          <w:szCs w:val="28"/>
        </w:rPr>
        <w:t>связаны с умением оперировать научными знаниями и фактическим материалом (техническая и научная компетентность, умение оперировать знаниями в жизни и обучении, использовать источники информации для собственного развития)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Формирование учащихся ключевых компетентностей в учебном процессе</w:t>
      </w:r>
      <w:r w:rsidRPr="006C251D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6C251D">
        <w:rPr>
          <w:rStyle w:val="a5"/>
          <w:color w:val="0D0D0D" w:themeColor="text1" w:themeTint="F2"/>
          <w:sz w:val="28"/>
          <w:szCs w:val="28"/>
        </w:rPr>
        <w:t xml:space="preserve">называется </w:t>
      </w:r>
      <w:proofErr w:type="spellStart"/>
      <w:r w:rsidRPr="006C251D">
        <w:rPr>
          <w:rStyle w:val="a5"/>
          <w:color w:val="0D0D0D" w:themeColor="text1" w:themeTint="F2"/>
          <w:sz w:val="28"/>
          <w:szCs w:val="28"/>
        </w:rPr>
        <w:t>компетентностным</w:t>
      </w:r>
      <w:proofErr w:type="spellEnd"/>
      <w:r w:rsidRPr="006C251D">
        <w:rPr>
          <w:rStyle w:val="a5"/>
          <w:color w:val="0D0D0D" w:themeColor="text1" w:themeTint="F2"/>
          <w:sz w:val="28"/>
          <w:szCs w:val="28"/>
        </w:rPr>
        <w:t xml:space="preserve"> подходом.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 xml:space="preserve">Комплекс этих жизненных умений является центральным в системе </w:t>
      </w:r>
      <w:proofErr w:type="spellStart"/>
      <w:r w:rsidRPr="006C251D">
        <w:rPr>
          <w:color w:val="0D0D0D" w:themeColor="text1" w:themeTint="F2"/>
          <w:sz w:val="28"/>
          <w:szCs w:val="28"/>
        </w:rPr>
        <w:t>компетентно</w:t>
      </w:r>
      <w:proofErr w:type="gramStart"/>
      <w:r w:rsidRPr="006C251D">
        <w:rPr>
          <w:color w:val="0D0D0D" w:themeColor="text1" w:themeTint="F2"/>
          <w:sz w:val="28"/>
          <w:szCs w:val="28"/>
        </w:rPr>
        <w:t>c</w:t>
      </w:r>
      <w:proofErr w:type="gramEnd"/>
      <w:r w:rsidRPr="006C251D">
        <w:rPr>
          <w:color w:val="0D0D0D" w:themeColor="text1" w:themeTint="F2"/>
          <w:sz w:val="28"/>
          <w:szCs w:val="28"/>
        </w:rPr>
        <w:t>тного</w:t>
      </w:r>
      <w:proofErr w:type="spellEnd"/>
      <w:r w:rsidRPr="006C251D">
        <w:rPr>
          <w:color w:val="0D0D0D" w:themeColor="text1" w:themeTint="F2"/>
          <w:sz w:val="28"/>
          <w:szCs w:val="28"/>
        </w:rPr>
        <w:t xml:space="preserve"> подхода, а так же конечным результатом обучения.</w:t>
      </w: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>Модель охватывает все звенья и виды образования: дошкольную, базовую и полную среднюю, профессиональную и высшую, внешкольную, последипломную и дистанционную с выходом на беспрерывное образование, на способность личности учиться на протяжении всей жизни.</w:t>
      </w:r>
    </w:p>
    <w:p w:rsidR="00BE460C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 xml:space="preserve">Субъектами деятельности в системе </w:t>
      </w:r>
      <w:proofErr w:type="spellStart"/>
      <w:r w:rsidRPr="006C251D">
        <w:rPr>
          <w:color w:val="0D0D0D" w:themeColor="text1" w:themeTint="F2"/>
          <w:sz w:val="28"/>
          <w:szCs w:val="28"/>
        </w:rPr>
        <w:t>компетентностно</w:t>
      </w:r>
      <w:proofErr w:type="spellEnd"/>
      <w:r w:rsidRPr="006C251D">
        <w:rPr>
          <w:color w:val="0D0D0D" w:themeColor="text1" w:themeTint="F2"/>
          <w:sz w:val="28"/>
          <w:szCs w:val="28"/>
        </w:rPr>
        <w:t xml:space="preserve"> ориентированного подхода являются – прежде всего, это ученик, родители и государственные структуры, которые, как прямо, так и косвенно, через государственную политику образования, влияют на становление личности. Это также субъекты педагогического процесса в системе образования – воспитатель, психолог, учитель.</w:t>
      </w:r>
    </w:p>
    <w:p w:rsidR="00BE460C" w:rsidRPr="006C251D" w:rsidRDefault="00BE460C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</w:p>
    <w:p w:rsidR="009A6785" w:rsidRPr="006C251D" w:rsidRDefault="009A6785" w:rsidP="006C251D">
      <w:pPr>
        <w:pStyle w:val="a3"/>
        <w:shd w:val="clear" w:color="auto" w:fill="FFFFFF"/>
        <w:spacing w:before="0" w:beforeAutospacing="0" w:after="360" w:afterAutospacing="0"/>
        <w:contextualSpacing/>
        <w:rPr>
          <w:i/>
          <w:color w:val="0D0D0D" w:themeColor="text1" w:themeTint="F2"/>
          <w:sz w:val="28"/>
          <w:szCs w:val="28"/>
        </w:rPr>
      </w:pPr>
      <w:r w:rsidRPr="006C251D">
        <w:rPr>
          <w:i/>
          <w:color w:val="0D0D0D" w:themeColor="text1" w:themeTint="F2"/>
          <w:sz w:val="28"/>
          <w:szCs w:val="28"/>
        </w:rPr>
        <w:t xml:space="preserve">Субъекты деятельности в системе </w:t>
      </w:r>
      <w:proofErr w:type="spellStart"/>
      <w:r w:rsidRPr="006C251D">
        <w:rPr>
          <w:i/>
          <w:color w:val="0D0D0D" w:themeColor="text1" w:themeTint="F2"/>
          <w:sz w:val="28"/>
          <w:szCs w:val="28"/>
        </w:rPr>
        <w:t>компетентностно</w:t>
      </w:r>
      <w:proofErr w:type="spellEnd"/>
      <w:r w:rsidRPr="006C251D">
        <w:rPr>
          <w:i/>
          <w:color w:val="0D0D0D" w:themeColor="text1" w:themeTint="F2"/>
          <w:sz w:val="28"/>
          <w:szCs w:val="28"/>
        </w:rPr>
        <w:t xml:space="preserve"> ориентированного подхода:</w:t>
      </w:r>
    </w:p>
    <w:p w:rsidR="00BE460C" w:rsidRPr="006C251D" w:rsidRDefault="00BE460C" w:rsidP="006C251D">
      <w:pPr>
        <w:pStyle w:val="a3"/>
        <w:numPr>
          <w:ilvl w:val="0"/>
          <w:numId w:val="3"/>
        </w:numPr>
        <w:shd w:val="clear" w:color="auto" w:fill="FFFFFF"/>
        <w:spacing w:before="0" w:beforeAutospacing="0" w:after="360" w:afterAutospacing="0"/>
        <w:contextualSpacing/>
        <w:rPr>
          <w:color w:val="0D0D0D" w:themeColor="text1" w:themeTint="F2"/>
          <w:sz w:val="28"/>
          <w:szCs w:val="28"/>
        </w:rPr>
      </w:pPr>
      <w:r w:rsidRPr="006C251D">
        <w:rPr>
          <w:color w:val="0D0D0D" w:themeColor="text1" w:themeTint="F2"/>
          <w:sz w:val="28"/>
          <w:szCs w:val="28"/>
        </w:rPr>
        <w:t xml:space="preserve">Ученик    2. Родители        3. Государственные структуры </w:t>
      </w:r>
    </w:p>
    <w:tbl>
      <w:tblPr>
        <w:tblW w:w="0" w:type="auto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0916"/>
      </w:tblGrid>
      <w:tr w:rsidR="009A6785" w:rsidRPr="006C251D" w:rsidTr="002F16DC">
        <w:tc>
          <w:tcPr>
            <w:tcW w:w="0" w:type="auto"/>
            <w:shd w:val="clear" w:color="auto" w:fill="FFFFFF"/>
            <w:vAlign w:val="center"/>
            <w:hideMark/>
          </w:tcPr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i/>
                <w:color w:val="0D0D0D" w:themeColor="text1" w:themeTint="F2"/>
                <w:sz w:val="28"/>
                <w:szCs w:val="28"/>
              </w:rPr>
            </w:pPr>
            <w:r w:rsidRPr="006C251D">
              <w:rPr>
                <w:i/>
                <w:color w:val="0D0D0D" w:themeColor="text1" w:themeTint="F2"/>
                <w:sz w:val="28"/>
                <w:szCs w:val="28"/>
              </w:rPr>
              <w:t xml:space="preserve">Субъекты педагогического процесса в системе образования – </w:t>
            </w:r>
          </w:p>
          <w:p w:rsidR="00BE460C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 xml:space="preserve"> 1. Воспитатель         2.  Психолог        3.  Учитель </w:t>
            </w:r>
          </w:p>
          <w:p w:rsidR="00BE460C" w:rsidRPr="006C251D" w:rsidRDefault="00BE460C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  <w:p w:rsidR="009A6785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 xml:space="preserve">Согласно программе внедрения </w:t>
            </w:r>
            <w:proofErr w:type="spellStart"/>
            <w:r w:rsidRPr="006C251D">
              <w:rPr>
                <w:color w:val="0D0D0D" w:themeColor="text1" w:themeTint="F2"/>
                <w:sz w:val="28"/>
                <w:szCs w:val="28"/>
              </w:rPr>
              <w:t>компетентностно</w:t>
            </w:r>
            <w:proofErr w:type="spellEnd"/>
            <w:r w:rsidRPr="006C251D">
              <w:rPr>
                <w:color w:val="0D0D0D" w:themeColor="text1" w:themeTint="F2"/>
                <w:sz w:val="28"/>
                <w:szCs w:val="28"/>
              </w:rPr>
              <w:t xml:space="preserve"> ориентированного подхода в учебно-воспитательный процесс выделяют следующие ключевые компетентности.</w:t>
            </w:r>
          </w:p>
          <w:p w:rsidR="006C251D" w:rsidRDefault="006C251D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  <w:p w:rsidR="006C251D" w:rsidRPr="006C251D" w:rsidRDefault="006C251D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rStyle w:val="a5"/>
                <w:color w:val="0D0D0D" w:themeColor="text1" w:themeTint="F2"/>
                <w:sz w:val="28"/>
                <w:szCs w:val="28"/>
              </w:rPr>
              <w:lastRenderedPageBreak/>
              <w:t>1. Познавательная компетентность: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– учебные достижения;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интеллектуальные задания;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умение учиться и оперировать знаниями.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rStyle w:val="a5"/>
                <w:color w:val="0D0D0D" w:themeColor="text1" w:themeTint="F2"/>
                <w:sz w:val="28"/>
                <w:szCs w:val="28"/>
              </w:rPr>
              <w:t>2. Личностная компетентность: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– развитие индивидуальных способностей и талантов;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знание своих сильных и слабых сторон;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способность к рефлексии;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динамичность знаний.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rStyle w:val="a5"/>
                <w:color w:val="0D0D0D" w:themeColor="text1" w:themeTint="F2"/>
                <w:sz w:val="28"/>
                <w:szCs w:val="28"/>
              </w:rPr>
              <w:t>3. Самообразовательная компетентность: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– способность к самообразованию, организации собственных приемов самообучения;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ответственность за уровень личной самообразовательной деятельности;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гибкость применения знаний, умений и навыков в условиях быстрых изменений;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постоянный самоанализ, контроль своей деятельности.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rStyle w:val="a5"/>
                <w:color w:val="0D0D0D" w:themeColor="text1" w:themeTint="F2"/>
                <w:sz w:val="28"/>
                <w:szCs w:val="28"/>
              </w:rPr>
              <w:t>4. Социальная компетентность: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– сотрудничество, работа в команде, коммуникативные навыки;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способность принимать собственные решения, стремиться к осознанию собственных потребностей и целей;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социальная целостность, умение определить личностную роль в обществе;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развитие личностных качеств, саморегулирование.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rStyle w:val="a5"/>
                <w:color w:val="0D0D0D" w:themeColor="text1" w:themeTint="F2"/>
                <w:sz w:val="28"/>
                <w:szCs w:val="28"/>
              </w:rPr>
              <w:t>5. Компетентное отношение к собственному здоровью: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– соматическое здоровье;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клиническое здоровье;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>– физическое здоровье;</w:t>
            </w:r>
            <w:r w:rsidRPr="006C251D">
              <w:rPr>
                <w:color w:val="0D0D0D" w:themeColor="text1" w:themeTint="F2"/>
                <w:sz w:val="28"/>
                <w:szCs w:val="28"/>
              </w:rPr>
              <w:br/>
              <w:t xml:space="preserve">– уровень </w:t>
            </w:r>
            <w:proofErr w:type="spellStart"/>
            <w:r w:rsidRPr="006C251D">
              <w:rPr>
                <w:color w:val="0D0D0D" w:themeColor="text1" w:themeTint="F2"/>
                <w:sz w:val="28"/>
                <w:szCs w:val="28"/>
              </w:rPr>
              <w:t>валеологических</w:t>
            </w:r>
            <w:proofErr w:type="spellEnd"/>
            <w:r w:rsidRPr="006C251D">
              <w:rPr>
                <w:color w:val="0D0D0D" w:themeColor="text1" w:themeTint="F2"/>
                <w:sz w:val="28"/>
                <w:szCs w:val="28"/>
              </w:rPr>
              <w:t xml:space="preserve"> знаний.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Необходимо еще раз сделать ударение на главной особенности компетентности как педагогического явления, а именно: компетентность – это не специфические предметные умения и навыки, даже не абстрактные умственные действия или логические операции, а конкретные, жизненные, необходимые человеку любой профессии, возраста, родственного состояния.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Таким образом, ключевые компетенции конкретизируются на уровне образовательных областей и учебных предметов для каждой ступени обучения. Перечень ключевых компетенций определяется на основе 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обществе.</w:t>
            </w: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 xml:space="preserve">Уровень образованности, особенно в современных условиях, не определяется объемом знаний, их энциклопедичностью. С позиций </w:t>
            </w:r>
            <w:proofErr w:type="spellStart"/>
            <w:r w:rsidRPr="006C251D">
              <w:rPr>
                <w:color w:val="0D0D0D" w:themeColor="text1" w:themeTint="F2"/>
                <w:sz w:val="28"/>
                <w:szCs w:val="28"/>
              </w:rPr>
              <w:t>компетентностного</w:t>
            </w:r>
            <w:proofErr w:type="spellEnd"/>
            <w:r w:rsidRPr="006C251D">
              <w:rPr>
                <w:color w:val="0D0D0D" w:themeColor="text1" w:themeTint="F2"/>
                <w:sz w:val="28"/>
                <w:szCs w:val="28"/>
              </w:rPr>
              <w:t xml:space="preserve"> подхода уровень образованности определяется способностью решать проблемы различной сложности на основе имеющихся знаний. </w:t>
            </w:r>
            <w:proofErr w:type="spellStart"/>
            <w:r w:rsidRPr="006C251D">
              <w:rPr>
                <w:color w:val="0D0D0D" w:themeColor="text1" w:themeTint="F2"/>
                <w:sz w:val="28"/>
                <w:szCs w:val="28"/>
              </w:rPr>
              <w:t>Компетентностный</w:t>
            </w:r>
            <w:proofErr w:type="spellEnd"/>
            <w:r w:rsidRPr="006C251D">
              <w:rPr>
                <w:color w:val="0D0D0D" w:themeColor="text1" w:themeTint="F2"/>
                <w:sz w:val="28"/>
                <w:szCs w:val="28"/>
              </w:rPr>
              <w:t xml:space="preserve"> подход не отрицает значения знаний, но он акцентирует внимание на способности использовать полученные знания. При таком подходе цели образования описываются в терминах, отражающих новые возможности обучаемых, рост их личностного потенциала.</w:t>
            </w:r>
          </w:p>
          <w:p w:rsidR="00BE460C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С</w:t>
            </w:r>
            <w:r w:rsidRPr="006C251D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C251D">
              <w:rPr>
                <w:i/>
                <w:iCs/>
                <w:color w:val="0D0D0D" w:themeColor="text1" w:themeTint="F2"/>
                <w:sz w:val="28"/>
                <w:szCs w:val="28"/>
              </w:rPr>
              <w:t xml:space="preserve">позиций </w:t>
            </w:r>
            <w:proofErr w:type="spellStart"/>
            <w:r w:rsidRPr="006C251D">
              <w:rPr>
                <w:i/>
                <w:iCs/>
                <w:color w:val="0D0D0D" w:themeColor="text1" w:themeTint="F2"/>
                <w:sz w:val="28"/>
                <w:szCs w:val="28"/>
              </w:rPr>
              <w:t>компетентностного</w:t>
            </w:r>
            <w:proofErr w:type="spellEnd"/>
            <w:r w:rsidRPr="006C251D">
              <w:rPr>
                <w:i/>
                <w:iCs/>
                <w:color w:val="0D0D0D" w:themeColor="text1" w:themeTint="F2"/>
                <w:sz w:val="28"/>
                <w:szCs w:val="28"/>
              </w:rPr>
              <w:t xml:space="preserve"> подхода основным непосредственным результатом образовательной деятельности становится формирование ключевых компетентностей</w:t>
            </w:r>
          </w:p>
          <w:p w:rsidR="00BE460C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lastRenderedPageBreak/>
              <w:t>С этой точки зрения</w:t>
            </w:r>
            <w:r w:rsidRPr="006C251D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C251D">
              <w:rPr>
                <w:color w:val="0D0D0D" w:themeColor="text1" w:themeTint="F2"/>
                <w:sz w:val="28"/>
                <w:szCs w:val="28"/>
                <w:u w:val="single"/>
              </w:rPr>
              <w:t>цели школьного образования</w:t>
            </w:r>
            <w:r w:rsidRPr="006C251D">
              <w:rPr>
                <w:rStyle w:val="apple-converted-space"/>
                <w:color w:val="0D0D0D" w:themeColor="text1" w:themeTint="F2"/>
                <w:sz w:val="28"/>
                <w:szCs w:val="28"/>
              </w:rPr>
              <w:t> </w:t>
            </w:r>
            <w:r w:rsidRPr="006C251D">
              <w:rPr>
                <w:color w:val="0D0D0D" w:themeColor="text1" w:themeTint="F2"/>
                <w:sz w:val="28"/>
                <w:szCs w:val="28"/>
              </w:rPr>
              <w:t>в следующем:</w:t>
            </w:r>
          </w:p>
          <w:p w:rsidR="00BE460C" w:rsidRPr="006C251D" w:rsidRDefault="009A6785" w:rsidP="006C251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научить учиться, т.е. научить решать проблемы в сфере учебной деятельности;</w:t>
            </w:r>
          </w:p>
          <w:p w:rsidR="00BE460C" w:rsidRPr="006C251D" w:rsidRDefault="009A6785" w:rsidP="006C251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научить объяснять явления действительности, их сущность, причины, взаимосвязи, используя соответствующий научный аппарат, т.е. решать познавательные проблемы;</w:t>
            </w:r>
          </w:p>
          <w:p w:rsidR="00BE460C" w:rsidRPr="006C251D" w:rsidRDefault="009A6785" w:rsidP="006C251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научить ориентироваться в ключевых проблемах современной жизни – экологических, политических, межкультурного взаимодействия и иных, т.е. решать аналитические проблемы;</w:t>
            </w:r>
          </w:p>
          <w:p w:rsidR="00BE460C" w:rsidRPr="006C251D" w:rsidRDefault="009A6785" w:rsidP="006C251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научить ориентироваться в мире духовных ценностей;</w:t>
            </w:r>
          </w:p>
          <w:p w:rsidR="00BE460C" w:rsidRPr="006C251D" w:rsidRDefault="009A6785" w:rsidP="006C251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научить решать проблемы, связанные с реализацией определенных социальных ролей;</w:t>
            </w:r>
          </w:p>
          <w:p w:rsidR="00BE460C" w:rsidRPr="006C251D" w:rsidRDefault="009A6785" w:rsidP="006C251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научить решать проблемы, общие для разных видов профессиональной и иной деятельности;</w:t>
            </w:r>
          </w:p>
          <w:p w:rsidR="00BE460C" w:rsidRPr="006C251D" w:rsidRDefault="009A6785" w:rsidP="006C251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60" w:afterAutospacing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научить решать проблемы профессионального выбора, включая подготовку к дальнейшему обучению в учебных заве</w:t>
            </w:r>
            <w:r w:rsidR="00BE460C" w:rsidRPr="006C251D">
              <w:rPr>
                <w:color w:val="0D0D0D" w:themeColor="text1" w:themeTint="F2"/>
                <w:sz w:val="28"/>
                <w:szCs w:val="28"/>
              </w:rPr>
              <w:t>дениях системы профессионального.</w:t>
            </w:r>
          </w:p>
          <w:p w:rsidR="00BE460C" w:rsidRPr="006C251D" w:rsidRDefault="00BE460C" w:rsidP="006C251D">
            <w:pPr>
              <w:pStyle w:val="a3"/>
              <w:shd w:val="clear" w:color="auto" w:fill="FFFFFF"/>
              <w:spacing w:before="0" w:beforeAutospacing="0" w:after="360" w:afterAutospacing="0"/>
              <w:ind w:left="360"/>
              <w:contextualSpacing/>
              <w:rPr>
                <w:color w:val="0D0D0D" w:themeColor="text1" w:themeTint="F2"/>
                <w:sz w:val="28"/>
                <w:szCs w:val="28"/>
              </w:rPr>
            </w:pPr>
          </w:p>
          <w:p w:rsidR="009A6785" w:rsidRPr="006C251D" w:rsidRDefault="009A6785" w:rsidP="006C251D">
            <w:pPr>
              <w:pStyle w:val="a3"/>
              <w:shd w:val="clear" w:color="auto" w:fill="FFFFFF"/>
              <w:spacing w:before="0" w:beforeAutospacing="0" w:after="360" w:afterAutospacing="0"/>
              <w:ind w:left="36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6C251D">
              <w:rPr>
                <w:color w:val="0D0D0D" w:themeColor="text1" w:themeTint="F2"/>
                <w:sz w:val="28"/>
                <w:szCs w:val="28"/>
              </w:rPr>
              <w:t>Формирование компетентностей учеников обусловлено реализацией не только обновленного содержания образования, но и адекватных методов и технологий обучения.</w:t>
            </w:r>
          </w:p>
          <w:p w:rsidR="009A6785" w:rsidRPr="006C251D" w:rsidRDefault="009A6785" w:rsidP="006C251D">
            <w:pPr>
              <w:spacing w:after="360"/>
              <w:ind w:left="360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9A6785" w:rsidRPr="008E6EBB" w:rsidRDefault="009A6785">
      <w:pPr>
        <w:spacing w:line="360" w:lineRule="auto"/>
        <w:contextualSpacing/>
        <w:rPr>
          <w:color w:val="0D0D0D" w:themeColor="text1" w:themeTint="F2"/>
        </w:rPr>
      </w:pPr>
    </w:p>
    <w:sectPr w:rsidR="009A6785" w:rsidRPr="008E6EBB" w:rsidSect="008E6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B31"/>
    <w:multiLevelType w:val="multilevel"/>
    <w:tmpl w:val="50C2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63D13"/>
    <w:multiLevelType w:val="multilevel"/>
    <w:tmpl w:val="8276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71AF8"/>
    <w:multiLevelType w:val="hybridMultilevel"/>
    <w:tmpl w:val="58D43DC0"/>
    <w:lvl w:ilvl="0" w:tplc="5BCAB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F2F80"/>
    <w:multiLevelType w:val="multilevel"/>
    <w:tmpl w:val="447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B29FD"/>
    <w:multiLevelType w:val="hybridMultilevel"/>
    <w:tmpl w:val="107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6EBB"/>
    <w:rsid w:val="006C251D"/>
    <w:rsid w:val="007302C4"/>
    <w:rsid w:val="008E6EBB"/>
    <w:rsid w:val="00932CC2"/>
    <w:rsid w:val="009A6785"/>
    <w:rsid w:val="00AE3C17"/>
    <w:rsid w:val="00BE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6E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6E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E6EBB"/>
    <w:pPr>
      <w:ind w:left="720"/>
      <w:contextualSpacing/>
    </w:pPr>
  </w:style>
  <w:style w:type="character" w:customStyle="1" w:styleId="apple-converted-space">
    <w:name w:val="apple-converted-space"/>
    <w:basedOn w:val="a0"/>
    <w:rsid w:val="008E6EBB"/>
  </w:style>
  <w:style w:type="character" w:styleId="a5">
    <w:name w:val="Strong"/>
    <w:basedOn w:val="a0"/>
    <w:uiPriority w:val="22"/>
    <w:qFormat/>
    <w:rsid w:val="008E6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2014-01-23T10:53:00Z</dcterms:created>
  <dcterms:modified xsi:type="dcterms:W3CDTF">2014-01-23T11:42:00Z</dcterms:modified>
</cp:coreProperties>
</file>