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2A" w:rsidRPr="00E0292A" w:rsidRDefault="00E0292A" w:rsidP="00E0292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 в ФГОС: 10 важных вопросов и ответов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В чём заключается новизна ФГОС?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– принципиально новый документ для отечественной школы. ФГОС  формирует все важнейшие стороны работы школы, определяет уклад школьной жизни.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Ключевые особенности ФГОС общего образования:</w:t>
      </w:r>
    </w:p>
    <w:p w:rsidR="00E0292A" w:rsidRPr="00E0292A" w:rsidRDefault="00E0292A" w:rsidP="00E029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ценностно-нормативная основа разработки и реализации ФГОС общего образования – Концепция духовно-нравственного развития и воспитания личности гражданина России;</w:t>
      </w:r>
    </w:p>
    <w:p w:rsidR="00E0292A" w:rsidRPr="00E0292A" w:rsidRDefault="00E0292A" w:rsidP="00E029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ориентация на становление личностных характеристик выпускника, зафиксированных в «портрете выпускника» соответствующей ступени образования;</w:t>
      </w:r>
    </w:p>
    <w:p w:rsidR="00E0292A" w:rsidRPr="00E0292A" w:rsidRDefault="00E0292A" w:rsidP="00E029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учет образовательных потребностей обучающихся с ограниченными возможностями здоровья;</w:t>
      </w:r>
    </w:p>
    <w:p w:rsidR="00E0292A" w:rsidRPr="00E0292A" w:rsidRDefault="00E0292A" w:rsidP="00E029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повышение роли родителей (законных представителей) обучающихся в проектировании и реализации основной образовательной программы по ступеням обучения. 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Как изменится деятельность учителя при переходе на ФГОС ООО?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Основные изменения в деятельности педагога коснутся следующих направлений:</w:t>
      </w:r>
    </w:p>
    <w:p w:rsidR="00E0292A" w:rsidRPr="00E0292A" w:rsidRDefault="00E0292A" w:rsidP="00E0292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изменения в подходе к разработке рабочей программы по предмету;</w:t>
      </w:r>
    </w:p>
    <w:p w:rsidR="00E0292A" w:rsidRPr="00E0292A" w:rsidRDefault="00E0292A" w:rsidP="00E0292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 xml:space="preserve"> подхода на уроках и внеурочных занятиях, построение обучения на принципах развивающего обучения;</w:t>
      </w:r>
    </w:p>
    <w:p w:rsidR="00E0292A" w:rsidRPr="00E0292A" w:rsidRDefault="00E0292A" w:rsidP="00E0292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обязательное участие </w:t>
      </w:r>
      <w:proofErr w:type="gramStart"/>
      <w:r w:rsidRPr="00E029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292A">
        <w:rPr>
          <w:rFonts w:ascii="Times New Roman" w:hAnsi="Times New Roman" w:cs="Times New Roman"/>
          <w:sz w:val="24"/>
          <w:szCs w:val="24"/>
        </w:rPr>
        <w:t xml:space="preserve"> в проектной деятельности по предмету;</w:t>
      </w:r>
    </w:p>
    <w:p w:rsidR="00E0292A" w:rsidRPr="00E0292A" w:rsidRDefault="00E0292A" w:rsidP="00E0292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оценка предметных результатов с позиции оценки способности учащегося решать учебно-познавательные и учебно-практические задачи;</w:t>
      </w:r>
    </w:p>
    <w:p w:rsidR="00E0292A" w:rsidRPr="00E0292A" w:rsidRDefault="00E0292A" w:rsidP="00E0292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программы;</w:t>
      </w:r>
    </w:p>
    <w:p w:rsidR="00E0292A" w:rsidRPr="00E0292A" w:rsidRDefault="00E0292A" w:rsidP="00E0292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включение учащихся в процесс оценивания через контрольно-оценочную самостоятельность и самооценку.</w:t>
      </w:r>
    </w:p>
    <w:p w:rsidR="00E0292A" w:rsidRPr="00E0292A" w:rsidRDefault="00E0292A" w:rsidP="00E0292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Сегодня учитель уже не является ретранслятором тех знаний, которыми он обладает. У него появляется совершенно другая функция. Его задача – помочь ребенку ориентироваться в огромном объеме информации, дать ему возможность принимать правильные решения. Для этого учитель должен говорить с ребенком на одном языке. </w:t>
      </w:r>
    </w:p>
    <w:p w:rsidR="00E0292A" w:rsidRPr="00E0292A" w:rsidRDefault="00E0292A" w:rsidP="00E0292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В чём заключаются новые подходы к оценке результатов образования?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Введение новых стандартов предусматривает значительные изменения в оценочной деятельности учителя.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ФГОС нового поколения декларирует следующие новшества в оценивании:</w:t>
      </w:r>
    </w:p>
    <w:p w:rsidR="00E0292A" w:rsidRPr="00E0292A" w:rsidRDefault="00E0292A" w:rsidP="00E0292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оцениваются все виды результатов: личностные,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>, предметные. При этом оценка личностных результатов в рамках ОУ возможна только в ограниченной форме, т.е. оцениваются лишь некоторые результаты на основе наблюдения за поведением школьников и анкетирования;</w:t>
      </w:r>
    </w:p>
    <w:p w:rsidR="00E0292A" w:rsidRPr="00E0292A" w:rsidRDefault="00E0292A" w:rsidP="00E0292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большую роль в оценивании должна играть самооценка и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 xml:space="preserve">. А это означает, что потребуется разработать критерии оценки и эталоны для организации этого вида деятельности. Кроме того, при проектировании </w:t>
      </w:r>
      <w:r w:rsidRPr="00E0292A">
        <w:rPr>
          <w:rFonts w:ascii="Times New Roman" w:hAnsi="Times New Roman" w:cs="Times New Roman"/>
          <w:sz w:val="24"/>
          <w:szCs w:val="24"/>
        </w:rPr>
        <w:lastRenderedPageBreak/>
        <w:t>уроков учителю необходимо предусмотреть выделение оценивания в отдельный этап;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4.Как осуществлять оценку </w:t>
      </w:r>
      <w:proofErr w:type="spellStart"/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метапредметных</w:t>
      </w:r>
      <w:proofErr w:type="spellEnd"/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результатов учителю-предметнику ОДНКНР?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В Примерной основной образовательной программе ОО для основной школы в п. 1.3.3. даны общие рекомендации по организации оценки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 xml:space="preserve"> результатов. Учителю следует обратить внимание на следующие ключевые моменты:</w:t>
      </w:r>
    </w:p>
    <w:p w:rsidR="00E0292A" w:rsidRPr="00E0292A" w:rsidRDefault="00E0292A" w:rsidP="00E0292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E0292A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E0292A">
        <w:rPr>
          <w:rFonts w:ascii="Times New Roman" w:hAnsi="Times New Roman" w:cs="Times New Roman"/>
          <w:sz w:val="24"/>
          <w:szCs w:val="24"/>
        </w:rPr>
        <w:t xml:space="preserve"> УУД не входит в компетенцию педагога. На основе наблюдения за поведением учащихся и анкетирования возможно лишь оценить некоторые отдельные результаты (ограниченная оценка);</w:t>
      </w:r>
    </w:p>
    <w:p w:rsidR="00E0292A" w:rsidRPr="00E0292A" w:rsidRDefault="00E0292A" w:rsidP="00E0292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 xml:space="preserve"> УУД служат промежуточные и итоговые комплексные работы -в ОДНКНР их нет</w:t>
      </w:r>
      <w:proofErr w:type="gramStart"/>
      <w:r w:rsidRPr="00E0292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0292A">
        <w:rPr>
          <w:rFonts w:ascii="Times New Roman" w:hAnsi="Times New Roman" w:cs="Times New Roman"/>
          <w:sz w:val="24"/>
          <w:szCs w:val="24"/>
        </w:rPr>
        <w:t xml:space="preserve">олько мониторинг и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>. Материалы для таких работ будут разработаны на федеральном уровне;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DD2" w:rsidRPr="00E0292A" w:rsidRDefault="00E0292A" w:rsidP="00E0292A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Каким требованиям должна соответствовать рабочая программа по предмету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Pr="00E0292A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Рабочие программы составляются по ФГОС ООО и ПО ОП  ООО с учетом ООП школы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Примерные программы не могут использоваться в качестве рабочих, поскольку не задают последовательности изучения материала и распределения его по классам или годам обучения. Авторы рабочих программ могут предложить собственный подход к структурированию учебного материала и определению последовательности его изучения.</w:t>
      </w:r>
    </w:p>
    <w:p w:rsidR="005A5DD2" w:rsidRPr="00E0292A" w:rsidRDefault="00E0292A" w:rsidP="00E029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2A">
        <w:rPr>
          <w:rFonts w:ascii="Times New Roman" w:hAnsi="Times New Roman" w:cs="Times New Roman"/>
          <w:b/>
          <w:sz w:val="24"/>
          <w:szCs w:val="24"/>
        </w:rPr>
        <w:t>6</w:t>
      </w:r>
      <w:r w:rsidRPr="00E0292A">
        <w:rPr>
          <w:rFonts w:ascii="Times New Roman" w:hAnsi="Times New Roman" w:cs="Times New Roman"/>
          <w:sz w:val="24"/>
          <w:szCs w:val="24"/>
        </w:rPr>
        <w:t>.</w:t>
      </w:r>
      <w:r w:rsidRPr="00E0292A">
        <w:rPr>
          <w:rFonts w:ascii="Times New Roman" w:hAnsi="Times New Roman" w:cs="Times New Roman"/>
          <w:b/>
          <w:sz w:val="24"/>
          <w:szCs w:val="24"/>
        </w:rPr>
        <w:t>Как</w:t>
      </w:r>
      <w:r w:rsidRPr="00E02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92A">
        <w:rPr>
          <w:rFonts w:ascii="Times New Roman" w:hAnsi="Times New Roman" w:cs="Times New Roman"/>
          <w:b/>
          <w:sz w:val="24"/>
          <w:szCs w:val="24"/>
        </w:rPr>
        <w:t>О</w:t>
      </w:r>
      <w:r w:rsidRPr="00E0292A">
        <w:rPr>
          <w:rFonts w:ascii="Times New Roman" w:hAnsi="Times New Roman" w:cs="Times New Roman"/>
          <w:b/>
          <w:sz w:val="24"/>
          <w:szCs w:val="24"/>
        </w:rPr>
        <w:t>Д</w:t>
      </w:r>
      <w:r w:rsidRPr="00E0292A">
        <w:rPr>
          <w:rFonts w:ascii="Times New Roman" w:hAnsi="Times New Roman" w:cs="Times New Roman"/>
          <w:b/>
          <w:sz w:val="24"/>
          <w:szCs w:val="24"/>
        </w:rPr>
        <w:t>Н</w:t>
      </w:r>
      <w:r w:rsidRPr="00E0292A">
        <w:rPr>
          <w:rFonts w:ascii="Times New Roman" w:hAnsi="Times New Roman" w:cs="Times New Roman"/>
          <w:b/>
          <w:sz w:val="24"/>
          <w:szCs w:val="24"/>
        </w:rPr>
        <w:t>К</w:t>
      </w:r>
      <w:r w:rsidRPr="00E0292A">
        <w:rPr>
          <w:rFonts w:ascii="Times New Roman" w:hAnsi="Times New Roman" w:cs="Times New Roman"/>
          <w:b/>
          <w:sz w:val="24"/>
          <w:szCs w:val="24"/>
        </w:rPr>
        <w:t>Н</w:t>
      </w:r>
      <w:r w:rsidRPr="00E0292A">
        <w:rPr>
          <w:rFonts w:ascii="Times New Roman" w:hAnsi="Times New Roman" w:cs="Times New Roman"/>
          <w:b/>
          <w:sz w:val="24"/>
          <w:szCs w:val="24"/>
        </w:rPr>
        <w:t>Р</w:t>
      </w:r>
      <w:r w:rsidRPr="00E02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92A">
        <w:rPr>
          <w:rFonts w:ascii="Times New Roman" w:hAnsi="Times New Roman" w:cs="Times New Roman"/>
          <w:b/>
          <w:sz w:val="24"/>
          <w:szCs w:val="24"/>
        </w:rPr>
        <w:t>о</w:t>
      </w:r>
      <w:r w:rsidRPr="00E0292A">
        <w:rPr>
          <w:rFonts w:ascii="Times New Roman" w:hAnsi="Times New Roman" w:cs="Times New Roman"/>
          <w:b/>
          <w:sz w:val="24"/>
          <w:szCs w:val="24"/>
        </w:rPr>
        <w:t>б</w:t>
      </w:r>
      <w:r w:rsidRPr="00E0292A">
        <w:rPr>
          <w:rFonts w:ascii="Times New Roman" w:hAnsi="Times New Roman" w:cs="Times New Roman"/>
          <w:b/>
          <w:sz w:val="24"/>
          <w:szCs w:val="24"/>
        </w:rPr>
        <w:t>е</w:t>
      </w:r>
      <w:r w:rsidRPr="00E0292A">
        <w:rPr>
          <w:rFonts w:ascii="Times New Roman" w:hAnsi="Times New Roman" w:cs="Times New Roman"/>
          <w:b/>
          <w:sz w:val="24"/>
          <w:szCs w:val="24"/>
        </w:rPr>
        <w:t>с</w:t>
      </w:r>
      <w:r w:rsidRPr="00E0292A">
        <w:rPr>
          <w:rFonts w:ascii="Times New Roman" w:hAnsi="Times New Roman" w:cs="Times New Roman"/>
          <w:b/>
          <w:sz w:val="24"/>
          <w:szCs w:val="24"/>
        </w:rPr>
        <w:t>п</w:t>
      </w:r>
      <w:r w:rsidRPr="00E0292A">
        <w:rPr>
          <w:rFonts w:ascii="Times New Roman" w:hAnsi="Times New Roman" w:cs="Times New Roman"/>
          <w:b/>
          <w:sz w:val="24"/>
          <w:szCs w:val="24"/>
        </w:rPr>
        <w:t>е</w:t>
      </w:r>
      <w:r w:rsidRPr="00E0292A">
        <w:rPr>
          <w:rFonts w:ascii="Times New Roman" w:hAnsi="Times New Roman" w:cs="Times New Roman"/>
          <w:b/>
          <w:sz w:val="24"/>
          <w:szCs w:val="24"/>
        </w:rPr>
        <w:t>ч</w:t>
      </w:r>
      <w:r w:rsidRPr="00E0292A">
        <w:rPr>
          <w:rFonts w:ascii="Times New Roman" w:hAnsi="Times New Roman" w:cs="Times New Roman"/>
          <w:b/>
          <w:sz w:val="24"/>
          <w:szCs w:val="24"/>
        </w:rPr>
        <w:t>и</w:t>
      </w:r>
      <w:r w:rsidRPr="00E0292A">
        <w:rPr>
          <w:rFonts w:ascii="Times New Roman" w:hAnsi="Times New Roman" w:cs="Times New Roman"/>
          <w:b/>
          <w:sz w:val="24"/>
          <w:szCs w:val="24"/>
        </w:rPr>
        <w:t>в</w:t>
      </w:r>
      <w:r w:rsidRPr="00E0292A">
        <w:rPr>
          <w:rFonts w:ascii="Times New Roman" w:hAnsi="Times New Roman" w:cs="Times New Roman"/>
          <w:b/>
          <w:sz w:val="24"/>
          <w:szCs w:val="24"/>
        </w:rPr>
        <w:t>а</w:t>
      </w:r>
      <w:r w:rsidRPr="00E0292A">
        <w:rPr>
          <w:rFonts w:ascii="Times New Roman" w:hAnsi="Times New Roman" w:cs="Times New Roman"/>
          <w:b/>
          <w:sz w:val="24"/>
          <w:szCs w:val="24"/>
        </w:rPr>
        <w:t>е</w:t>
      </w:r>
      <w:r w:rsidRPr="00E0292A">
        <w:rPr>
          <w:rFonts w:ascii="Times New Roman" w:hAnsi="Times New Roman" w:cs="Times New Roman"/>
          <w:b/>
          <w:sz w:val="24"/>
          <w:szCs w:val="24"/>
        </w:rPr>
        <w:t>т</w:t>
      </w:r>
      <w:r w:rsidRPr="00E02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92A">
        <w:rPr>
          <w:rFonts w:ascii="Times New Roman" w:hAnsi="Times New Roman" w:cs="Times New Roman"/>
          <w:b/>
          <w:sz w:val="24"/>
          <w:szCs w:val="24"/>
        </w:rPr>
        <w:t>р</w:t>
      </w:r>
      <w:r w:rsidRPr="00E0292A">
        <w:rPr>
          <w:rFonts w:ascii="Times New Roman" w:hAnsi="Times New Roman" w:cs="Times New Roman"/>
          <w:b/>
          <w:sz w:val="24"/>
          <w:szCs w:val="24"/>
        </w:rPr>
        <w:t>е</w:t>
      </w:r>
      <w:r w:rsidRPr="00E0292A">
        <w:rPr>
          <w:rFonts w:ascii="Times New Roman" w:hAnsi="Times New Roman" w:cs="Times New Roman"/>
          <w:b/>
          <w:sz w:val="24"/>
          <w:szCs w:val="24"/>
        </w:rPr>
        <w:t>а</w:t>
      </w:r>
      <w:r w:rsidRPr="00E0292A">
        <w:rPr>
          <w:rFonts w:ascii="Times New Roman" w:hAnsi="Times New Roman" w:cs="Times New Roman"/>
          <w:b/>
          <w:sz w:val="24"/>
          <w:szCs w:val="24"/>
        </w:rPr>
        <w:t>л</w:t>
      </w:r>
      <w:r w:rsidRPr="00E0292A">
        <w:rPr>
          <w:rFonts w:ascii="Times New Roman" w:hAnsi="Times New Roman" w:cs="Times New Roman"/>
          <w:b/>
          <w:sz w:val="24"/>
          <w:szCs w:val="24"/>
        </w:rPr>
        <w:t>и</w:t>
      </w:r>
      <w:r w:rsidRPr="00E0292A">
        <w:rPr>
          <w:rFonts w:ascii="Times New Roman" w:hAnsi="Times New Roman" w:cs="Times New Roman"/>
          <w:b/>
          <w:sz w:val="24"/>
          <w:szCs w:val="24"/>
        </w:rPr>
        <w:t>з</w:t>
      </w:r>
      <w:r w:rsidRPr="00E0292A">
        <w:rPr>
          <w:rFonts w:ascii="Times New Roman" w:hAnsi="Times New Roman" w:cs="Times New Roman"/>
          <w:b/>
          <w:sz w:val="24"/>
          <w:szCs w:val="24"/>
        </w:rPr>
        <w:t>а</w:t>
      </w:r>
      <w:r w:rsidRPr="00E0292A">
        <w:rPr>
          <w:rFonts w:ascii="Times New Roman" w:hAnsi="Times New Roman" w:cs="Times New Roman"/>
          <w:b/>
          <w:sz w:val="24"/>
          <w:szCs w:val="24"/>
        </w:rPr>
        <w:t>ц</w:t>
      </w:r>
      <w:r w:rsidRPr="00E0292A">
        <w:rPr>
          <w:rFonts w:ascii="Times New Roman" w:hAnsi="Times New Roman" w:cs="Times New Roman"/>
          <w:b/>
          <w:sz w:val="24"/>
          <w:szCs w:val="24"/>
        </w:rPr>
        <w:t>и</w:t>
      </w:r>
      <w:r w:rsidRPr="00E0292A">
        <w:rPr>
          <w:rFonts w:ascii="Times New Roman" w:hAnsi="Times New Roman" w:cs="Times New Roman"/>
          <w:b/>
          <w:sz w:val="24"/>
          <w:szCs w:val="24"/>
        </w:rPr>
        <w:t>ю</w:t>
      </w:r>
      <w:r w:rsidRPr="00E02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92A">
        <w:rPr>
          <w:rFonts w:ascii="Times New Roman" w:hAnsi="Times New Roman" w:cs="Times New Roman"/>
          <w:b/>
          <w:sz w:val="24"/>
          <w:szCs w:val="24"/>
        </w:rPr>
        <w:t>воспитательной составляющей ФГОС?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Одним из способов реализации воспитательной составляющей ФГОС может быть интеграция общего и дополнительного образования через организацию внеурочной деятельности.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Содержательным механизмом такой интеграции является реализация Программы воспитания и социализации.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В качестве организационных механизмов такой интеграции могут быть:</w:t>
      </w:r>
    </w:p>
    <w:p w:rsidR="00E0292A" w:rsidRPr="00E0292A" w:rsidRDefault="00E0292A" w:rsidP="00E029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разработка и реализация совместных программ внеурочной деятельности в таких формах, как социальное проектирование, коллективные творческие дела, социальные проекты, общественные акции и т.д., направленные на решение воспитательных задач;</w:t>
      </w:r>
    </w:p>
    <w:p w:rsidR="00E0292A" w:rsidRPr="00E0292A" w:rsidRDefault="00E0292A" w:rsidP="00E029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кооперация ресурсов и обмен ресурсами учреждений общего и дополнительного образования детей (интеллектуальными, кадровыми, информационными, материально-техническими и др.);</w:t>
      </w:r>
    </w:p>
    <w:p w:rsidR="00E0292A" w:rsidRPr="00E0292A" w:rsidRDefault="00E0292A" w:rsidP="00E029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предоставление услуг (консультативных, информационных, технических и др.);</w:t>
      </w:r>
    </w:p>
    <w:p w:rsidR="00E0292A" w:rsidRPr="00E0292A" w:rsidRDefault="00E0292A" w:rsidP="00E029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совместная экспертиза качества внеурочной деятельности.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2A">
        <w:rPr>
          <w:rFonts w:ascii="Times New Roman" w:hAnsi="Times New Roman" w:cs="Times New Roman"/>
          <w:b/>
          <w:bCs/>
          <w:sz w:val="24"/>
          <w:szCs w:val="24"/>
        </w:rPr>
        <w:t>7.В чём особенности организации внеурочной деятельности? Можно ли ставить знак равенства между внеурочной деятельностью и дополнительным образованием детей? Какова должна быть наполняемость групп при организации внеурочной деятельности?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 xml:space="preserve"> результатов. Это определяет и </w:t>
      </w:r>
      <w:r w:rsidRPr="00E0292A">
        <w:rPr>
          <w:rFonts w:ascii="Times New Roman" w:hAnsi="Times New Roman" w:cs="Times New Roman"/>
          <w:sz w:val="24"/>
          <w:szCs w:val="24"/>
        </w:rPr>
        <w:lastRenderedPageBreak/>
        <w:t>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2A">
        <w:rPr>
          <w:rFonts w:ascii="Times New Roman" w:hAnsi="Times New Roman" w:cs="Times New Roman"/>
          <w:b/>
          <w:sz w:val="24"/>
          <w:szCs w:val="24"/>
        </w:rPr>
        <w:t xml:space="preserve">8.Кто определяет содержание внеурочной деятельности и как она должна фиксироваться? 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Ответ прост: школа и учитель в частности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(далее– </w:t>
      </w:r>
      <w:proofErr w:type="gramStart"/>
      <w:r w:rsidRPr="00E0292A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E0292A">
        <w:rPr>
          <w:rFonts w:ascii="Times New Roman" w:hAnsi="Times New Roman" w:cs="Times New Roman"/>
          <w:sz w:val="24"/>
          <w:szCs w:val="24"/>
        </w:rPr>
        <w:t>мостоятельно выбирать направления внеурочной деятельности, определять временные рамки (количество часов на определённый вид деятельности), формы и способы организации внеурочной деятельности.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В качестве организационного механизма реализации внеурочной деятельности в образовательном учреждении может быть использован план внеурочной деятельности. Под планом внеурочной деятельности следует понимать нормативный документ образовательного учреждения, который определяет общий объем внеурочной деятельности обучающихся, состав и  структуру направлений внеурочной деятельности по годам обучения или для ступени общего образования.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В рамках ФГОС начального и основного общего образования выделены основные направления внеурочной деятельности: спортивно-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оздоровительное, духовно-нравственное,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>,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общекультурное, социальное. Направления внеурочной деятельности являются содержательным ориентиром и представляют собой приоритетные направления </w:t>
      </w:r>
      <w:proofErr w:type="gramStart"/>
      <w:r w:rsidRPr="00E0292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организации внеурочной деятельности и основанием для построения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соответствующих образовательных программ ОУ.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b/>
          <w:sz w:val="24"/>
          <w:szCs w:val="24"/>
        </w:rPr>
        <w:t>9.Каким образом можно реализовать предметную область ОДНКНР</w:t>
      </w:r>
      <w:r w:rsidRPr="00E0292A">
        <w:rPr>
          <w:rFonts w:ascii="Times New Roman" w:hAnsi="Times New Roman" w:cs="Times New Roman"/>
          <w:sz w:val="24"/>
          <w:szCs w:val="24"/>
        </w:rPr>
        <w:t>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Предметная область ОДНКНР может быть реализована </w:t>
      </w:r>
      <w:proofErr w:type="gramStart"/>
      <w:r w:rsidRPr="00E0292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0292A">
        <w:rPr>
          <w:rFonts w:ascii="Times New Roman" w:hAnsi="Times New Roman" w:cs="Times New Roman"/>
          <w:sz w:val="24"/>
          <w:szCs w:val="24"/>
        </w:rPr>
        <w:t>: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-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- включение в рабочие программы учебных предметов, курсов, дисциплин (модулей) других предметных областей и тем, содержащих вопросы духовно-нравственного воспитания;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>-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sz w:val="24"/>
          <w:szCs w:val="24"/>
        </w:rPr>
        <w:t xml:space="preserve">Какой вид деятельности: урочная или внеурочная, выбор учебно-методического обеспечения, включение учебных модулей </w:t>
      </w:r>
      <w:proofErr w:type="spellStart"/>
      <w:r w:rsidRPr="00E0292A">
        <w:rPr>
          <w:rFonts w:ascii="Times New Roman" w:hAnsi="Times New Roman" w:cs="Times New Roman"/>
          <w:sz w:val="24"/>
          <w:szCs w:val="24"/>
        </w:rPr>
        <w:t>отностится</w:t>
      </w:r>
      <w:proofErr w:type="spellEnd"/>
      <w:r w:rsidRPr="00E0292A">
        <w:rPr>
          <w:rFonts w:ascii="Times New Roman" w:hAnsi="Times New Roman" w:cs="Times New Roman"/>
          <w:sz w:val="24"/>
          <w:szCs w:val="24"/>
        </w:rPr>
        <w:t xml:space="preserve"> к компетенции образовательной организации. 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92A">
        <w:rPr>
          <w:rFonts w:ascii="Times New Roman" w:hAnsi="Times New Roman" w:cs="Times New Roman"/>
          <w:b/>
          <w:bCs/>
          <w:sz w:val="24"/>
          <w:szCs w:val="24"/>
        </w:rPr>
        <w:t xml:space="preserve">10.Что представляет собой </w:t>
      </w:r>
      <w:proofErr w:type="spellStart"/>
      <w:r w:rsidRPr="00E0292A">
        <w:rPr>
          <w:rFonts w:ascii="Times New Roman" w:hAnsi="Times New Roman" w:cs="Times New Roman"/>
          <w:b/>
          <w:bCs/>
          <w:sz w:val="24"/>
          <w:szCs w:val="24"/>
        </w:rPr>
        <w:t>системно-деятельностный</w:t>
      </w:r>
      <w:proofErr w:type="spellEnd"/>
      <w:r w:rsidRPr="00E0292A">
        <w:rPr>
          <w:rFonts w:ascii="Times New Roman" w:hAnsi="Times New Roman" w:cs="Times New Roman"/>
          <w:b/>
          <w:bCs/>
          <w:sz w:val="24"/>
          <w:szCs w:val="24"/>
        </w:rPr>
        <w:t xml:space="preserve">  подход, который лежит в основе ФГОС</w:t>
      </w:r>
      <w:r w:rsidRPr="00E0292A">
        <w:rPr>
          <w:rFonts w:ascii="Times New Roman" w:hAnsi="Times New Roman" w:cs="Times New Roman"/>
          <w:bCs/>
          <w:sz w:val="24"/>
          <w:szCs w:val="24"/>
        </w:rPr>
        <w:t>?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292A">
        <w:rPr>
          <w:rFonts w:ascii="Times New Roman" w:hAnsi="Times New Roman" w:cs="Times New Roman"/>
          <w:bCs/>
          <w:sz w:val="24"/>
          <w:szCs w:val="24"/>
        </w:rPr>
        <w:t>Системно-деятельностный</w:t>
      </w:r>
      <w:proofErr w:type="spellEnd"/>
      <w:r w:rsidRPr="00E0292A">
        <w:rPr>
          <w:rFonts w:ascii="Times New Roman" w:hAnsi="Times New Roman" w:cs="Times New Roman"/>
          <w:bCs/>
          <w:sz w:val="24"/>
          <w:szCs w:val="24"/>
        </w:rPr>
        <w:t xml:space="preserve"> подход обеспечивает достижение планируемых результатов освоения основной образовательной программы и создает основу </w:t>
      </w:r>
      <w:proofErr w:type="gramStart"/>
      <w:r w:rsidRPr="00E0292A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E0292A">
        <w:rPr>
          <w:rFonts w:ascii="Times New Roman" w:hAnsi="Times New Roman" w:cs="Times New Roman"/>
          <w:bCs/>
          <w:sz w:val="24"/>
          <w:szCs w:val="24"/>
        </w:rPr>
        <w:t xml:space="preserve"> самостоятельного успешного усвоения </w:t>
      </w:r>
      <w:proofErr w:type="gramStart"/>
      <w:r w:rsidRPr="00E0292A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E0292A">
        <w:rPr>
          <w:rFonts w:ascii="Times New Roman" w:hAnsi="Times New Roman" w:cs="Times New Roman"/>
          <w:bCs/>
          <w:sz w:val="24"/>
          <w:szCs w:val="24"/>
        </w:rPr>
        <w:t xml:space="preserve"> новых знаний, умений, компетенций, видов и способов деятельности.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292A" w:rsidRDefault="00E0292A" w:rsidP="00E029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Основная идея </w:t>
      </w:r>
      <w:proofErr w:type="spellStart"/>
      <w:r w:rsidRPr="00E0292A">
        <w:rPr>
          <w:rFonts w:ascii="Times New Roman" w:hAnsi="Times New Roman" w:cs="Times New Roman"/>
          <w:bCs/>
          <w:sz w:val="24"/>
          <w:szCs w:val="24"/>
        </w:rPr>
        <w:t>системно-деятельностного</w:t>
      </w:r>
      <w:proofErr w:type="spellEnd"/>
      <w:r w:rsidRPr="00E0292A">
        <w:rPr>
          <w:rFonts w:ascii="Times New Roman" w:hAnsi="Times New Roman" w:cs="Times New Roman"/>
          <w:bCs/>
          <w:sz w:val="24"/>
          <w:szCs w:val="24"/>
        </w:rPr>
        <w:t xml:space="preserve"> подхода состоит в том, что новые знания не даются в готовом виде. Дети добывают их сами в процессе самостоятельной исследовательской деятельности. Умение увидеть задачу с разных сторон, проанализировать множество решений, из единого целого выделить составляющие или, наоборот, из разрозненных фактов собрать целостную картину, - будет помогать не только на уроках, но и в обычной жизни.</w:t>
      </w:r>
    </w:p>
    <w:p w:rsidR="00E0292A" w:rsidRPr="00E0292A" w:rsidRDefault="00E0292A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521" w:rsidRPr="00E0292A" w:rsidRDefault="001C4521" w:rsidP="00E02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4521" w:rsidRPr="00E0292A" w:rsidSect="00E0292A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908393"/>
      <w:docPartObj>
        <w:docPartGallery w:val="Page Numbers (Bottom of Page)"/>
        <w:docPartUnique/>
      </w:docPartObj>
    </w:sdtPr>
    <w:sdtEndPr/>
    <w:sdtContent>
      <w:p w:rsidR="0022369C" w:rsidRDefault="00E029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2369C" w:rsidRDefault="00E0292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8E5"/>
    <w:multiLevelType w:val="hybridMultilevel"/>
    <w:tmpl w:val="D722EA64"/>
    <w:lvl w:ilvl="0" w:tplc="68E490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91C316C"/>
    <w:multiLevelType w:val="hybridMultilevel"/>
    <w:tmpl w:val="DB667728"/>
    <w:lvl w:ilvl="0" w:tplc="BC7ECDE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7BF"/>
    <w:multiLevelType w:val="hybridMultilevel"/>
    <w:tmpl w:val="5002E8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477E64B0"/>
    <w:multiLevelType w:val="hybridMultilevel"/>
    <w:tmpl w:val="DF16DCD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4E415C5E"/>
    <w:multiLevelType w:val="hybridMultilevel"/>
    <w:tmpl w:val="8BE0B42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5AFA6426"/>
    <w:multiLevelType w:val="hybridMultilevel"/>
    <w:tmpl w:val="97C272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90675"/>
    <w:multiLevelType w:val="hybridMultilevel"/>
    <w:tmpl w:val="BC1C0D6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92A"/>
    <w:rsid w:val="001C4521"/>
    <w:rsid w:val="00E0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292A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E0292A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02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84C1-A3C1-487C-B7C1-26EE0FA7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</dc:creator>
  <cp:lastModifiedBy>Lrs</cp:lastModifiedBy>
  <cp:revision>1</cp:revision>
  <dcterms:created xsi:type="dcterms:W3CDTF">2016-02-01T20:00:00Z</dcterms:created>
  <dcterms:modified xsi:type="dcterms:W3CDTF">2016-02-01T20:10:00Z</dcterms:modified>
</cp:coreProperties>
</file>