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D" w:rsidRDefault="00372D1D" w:rsidP="00372D1D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уроку.</w:t>
      </w:r>
    </w:p>
    <w:p w:rsidR="00372D1D" w:rsidRDefault="00372D1D" w:rsidP="00372D1D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2F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Урок обучения грамоте "Знакомство с буквой Г г " 1 класс</w:t>
      </w:r>
    </w:p>
    <w:p w:rsidR="00372D1D" w:rsidRPr="000D2F93" w:rsidRDefault="00372D1D" w:rsidP="00372D1D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2D1D" w:rsidRPr="000D2F93" w:rsidRDefault="00372D1D" w:rsidP="00372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Самигуллина Ляйсан Зиннуровна «Методическая разработка проекта современного урока»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Краткая аннотация работы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Урок разработан в соответствии с содержанием программы по обучению грамоте в 1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(УМК "Перспективная начальная школа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").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Тема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рока: “Знакомство с буквой «Г г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”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Обучающие цели: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1.Формирование 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правильно обозначать звуки [г, г'] буквами « Г, г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.»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2.Формирование навыка правильного, сознательного, выразительного чтения слов и предложений.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3.Создание условий по организации деятельность учащихся, направленных на формирование компетентности в сфере самостоятельной деятельности; на умение разрешать поставленные проблемы.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4. Расширение активного и пассивного словаря детей.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Цели, ориентированные на развитие личности учащегося: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1. Создание условия для развития у школьников основных психических процессов – памяти, внимания, мышления.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2. Создание условий для развития умения формулировать собственную точку зрения, высказывать и аргументировать её;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развития умения кратко излагать свои мысли.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3. Создание условий для развития фантазии, воображения, наблюдательность, фонематического слуха, умения давать полный, связный ответ, умения сравнивать, обобщать, делать выводы.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4.Способствовать развитию умения анализировать звуки, развитию фонематического слуха,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F93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Воспитательные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1.Раскрытие для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тей красоты и богатства родного 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2.Обучение умению общаться между собой.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3. Воспитывать чувство взаимопомощи, поддержки, учить детей сотрудничать.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F93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объяснения нового материала.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F93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игровая, 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F93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Методы: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наглядный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словесный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репродуктивный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частично-поисковый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F93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урока: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индивидуальная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фронтальная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парная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Оборудование: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• презентация к уроку набор звуковых карточек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Методической особенностью урока, является использование проблемно-исследовательского метода. Важно то, что проблемно-исследовательский метод предполагает не только индивидуальный, но и групповой, совместный поиск неизвестного учащимися. Индивидуальное творчество ребёнка, самостоятельные эксперименты и совместные формы группового исследования становятся в таком случае необходимыми составляющими обучения. При таком построении процесса обучения обеспечивается развитие коммуникативной сферы у детей, их способностей к сотрудничеству, пониманию 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других людей и самого себя. Дети приобретают такие мыслительные и исследовательские умения, без которых невозможно более или менее самостоятельное выполнение исследовательской или проектной работы, а в конечном итоге умение учиться, и не только в школе, а в течение всей жизни.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ИКТ используется на всех этапах урока как средство наглядности вместе со словом, т. е. словесные и наглядные методы выступают в дидактическом единстве. </w:t>
      </w:r>
      <w:r w:rsidRPr="000D2F93">
        <w:rPr>
          <w:rFonts w:ascii="Times New Roman" w:eastAsia="Times New Roman" w:hAnsi="Times New Roman"/>
          <w:sz w:val="24"/>
          <w:szCs w:val="24"/>
          <w:lang w:eastAsia="ru-RU"/>
        </w:rPr>
        <w:br/>
        <w:t>ИКТ использовались также в процессе подготовки к уроку как средство извлечения информации и наглядного материала, для этого использовали Интернет. Наглядный материал оформлен в виде презентации в Рower Poit.</w:t>
      </w:r>
    </w:p>
    <w:p w:rsidR="00372D1D" w:rsidRDefault="00372D1D" w:rsidP="00372D1D">
      <w:pPr>
        <w:jc w:val="both"/>
      </w:pPr>
    </w:p>
    <w:p w:rsidR="00372D1D" w:rsidRDefault="00372D1D" w:rsidP="00372D1D"/>
    <w:p w:rsidR="00781FC9" w:rsidRDefault="00781FC9"/>
    <w:sectPr w:rsidR="00781FC9" w:rsidSect="007E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D1D"/>
    <w:rsid w:val="00133CF6"/>
    <w:rsid w:val="00372D1D"/>
    <w:rsid w:val="00394D16"/>
    <w:rsid w:val="004047A8"/>
    <w:rsid w:val="006D6E17"/>
    <w:rsid w:val="00781FC9"/>
    <w:rsid w:val="00845E45"/>
    <w:rsid w:val="008C3F78"/>
    <w:rsid w:val="00BE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2012-08-12T18:15:00Z</dcterms:created>
  <dcterms:modified xsi:type="dcterms:W3CDTF">2012-08-12T18:15:00Z</dcterms:modified>
</cp:coreProperties>
</file>