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D5" w:rsidRDefault="00263CD5" w:rsidP="00263CD5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Toc338950160"/>
      <w:bookmarkEnd w:id="0"/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pacing w:val="3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Изобразительное искуство.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Семья пространственных искусств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69"/>
        <w:gridCol w:w="11931"/>
      </w:tblGrid>
      <w:tr w:rsidR="00263CD5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Формировать представление об искусстве изображения как способе художественного познания мира; познакомить с видами изобразительного искусства, художественными материалами и их выразительными возможностями; развивать интерес к изобразительному искусству как особому языку духовной культуры общества</w:t>
            </w:r>
          </w:p>
        </w:tc>
      </w:tr>
      <w:tr w:rsidR="00263CD5">
        <w:trPr>
          <w:trHeight w:val="4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Изучение новых знаний</w:t>
            </w:r>
          </w:p>
        </w:tc>
      </w:tr>
      <w:tr w:rsidR="00263CD5">
        <w:trPr>
          <w:trHeight w:val="765"/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образовательные 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результаты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классифицировать по заданным основаниям (деление пространственных искусств на две группы), сравнивать объекты по заданным критериям (конструктивность, декоративность, художественные материалы); подразделять пространственные искусства на две группы и сравнивать их по заданным критериям,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художественными материалами и их выразительными возможностями.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определять цель, проблему в учебной деятельности (различное назначение видов искусства 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жизни людей, соответственно различные художественные средства и возможности),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излагать свое мнение в диалоге.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осознают свои интересы (что значит понимать искусство и почему этому надо учиться?), формируют навык сотрудничества со взрослыми и сверстниками</w:t>
            </w:r>
          </w:p>
        </w:tc>
      </w:tr>
      <w:tr w:rsidR="00263CD5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Методы и формы 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Объяснительно-иллюстративный, исследовательский; фронтальная и индивидуальная</w:t>
            </w:r>
          </w:p>
        </w:tc>
      </w:tr>
      <w:tr w:rsidR="00263CD5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Образовательные ресурсы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ru.wikipedia.org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wiki</w:t>
            </w:r>
            <w:proofErr w:type="spellEnd"/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www.artsait.ru</w:t>
            </w:r>
            <w:proofErr w:type="spellEnd"/>
          </w:p>
        </w:tc>
      </w:tr>
      <w:tr w:rsidR="00263CD5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Тушь, гуашь, акварель, бумага, кисть, перо, губка</w:t>
            </w:r>
          </w:p>
        </w:tc>
      </w:tr>
      <w:tr w:rsidR="00263CD5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Наглядно-демонстрационный материал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Репродукции картин: Л. С. Попов «Пространственная композиция» (масло), Я.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Чернихов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«Архитектурный рисунок» (цветные карандаши), А. Я. Головин «Натюрморт» (темпера), 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«Автопортрет за мольбертом» (масло), В. А. Фаворский «Натюрморт» (гравюра), С.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Эрьзя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«Женский портрет» (скульптура), В. А. Серов «Портрет К. С. Станиславского» (уголь), Т. А. Маврина «Лимоны» (акварель); предметы декоративно-прикладного искусства.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ряд: презентация «Три группы пространственных искусств»</w:t>
            </w:r>
          </w:p>
        </w:tc>
      </w:tr>
      <w:tr w:rsidR="00263CD5">
        <w:trPr>
          <w:jc w:val="center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1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Пространственные (пластические)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искусства;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конструктивные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виды искусства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архитектура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дизайн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декоративно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виды искусства;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изобразительные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виды искусства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(живопись, графика, скульптура)</w:t>
            </w:r>
          </w:p>
        </w:tc>
      </w:tr>
    </w:tbl>
    <w:p w:rsidR="00263CD5" w:rsidRDefault="00263CD5" w:rsidP="00263CD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lastRenderedPageBreak/>
        <w:t>Организационная структура (сценарий)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49"/>
        <w:gridCol w:w="1261"/>
        <w:gridCol w:w="6738"/>
        <w:gridCol w:w="1591"/>
        <w:gridCol w:w="796"/>
        <w:gridCol w:w="1755"/>
        <w:gridCol w:w="810"/>
      </w:tblGrid>
      <w:tr w:rsidR="00263CD5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Этапы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урока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Обучающие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компоненты, задания и упражнения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учителя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учащихся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Формы</w:t>
            </w:r>
          </w:p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совзаимодействия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умения</w:t>
            </w:r>
          </w:p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(универсальные учебные действия)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Промежуточный контроль</w:t>
            </w:r>
          </w:p>
        </w:tc>
      </w:tr>
      <w:tr w:rsidR="00263CD5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5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7</w:t>
            </w:r>
          </w:p>
        </w:tc>
      </w:tr>
      <w:tr w:rsidR="00263CD5">
        <w:trPr>
          <w:trHeight w:val="25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I. Организационный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момент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учащихся к изучению нового материала. Рассказ 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элементами беседы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Проверяет готовность обучающихся к уроку.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 истории человечества не было существования общества без искусства. С первобытных времен человек создавал вещи, украшал свое жилище, изображал свои представления об окружающем мире. Человеку свойственно задавать вопросы. Пришло время, и он задумался о том, что значит понимать искусство и почему этому надо учиться.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Существует наука об искусстве – искусствознание. Попытки создания теории искусства восходят еще к эпохе античности. Продолжали изучать искусство и в эпоху Возрождения. В XIX и XX вв. искусствознание получило широкое развитие, сложился целый ряд школ и направлений. 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произведений искусства – творческий процесс. Как вы считаете, достаточно ли художнику только фантазии или необходимо еще что-то для создания произведения искусства? На этот вопрос 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мы попробуем сегодня ответить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Слушают учителя. Задают вопросы. Ставят перед собой цель учебной деятельности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Фронтальная работа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определяют цель, проблему в учебной деятельности.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осознают свои интересы (что значит понимать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искусство и почему этому надо учиться?)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3CD5">
        <w:trPr>
          <w:trHeight w:val="28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II. Изучение нового материала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Пространственные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виды искусства делятся на конструктивные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изобразительные.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Слайд № 2).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Помогите мне разделить виды искусства по данному принципу: живопись, скульптура, графика, архитектура, декоративно-прикладное искусство, дизайн.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Что необходимо знать, чтобы выбрать из перечисленных искусств искусства, относящиеся 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конструктивным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 Какие искусства называются конструктивными?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(Слайды № 3–12).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Делят пространственные искусства на две группы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сравнивают</w:t>
            </w:r>
          </w:p>
          <w:p w:rsidR="00263CD5" w:rsidRDefault="00263CD5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их по заданным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критериям.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Фронтальная,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классифицируют по заданным основаниям.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63CD5" w:rsidRDefault="00263CD5" w:rsidP="00263CD5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49"/>
        <w:gridCol w:w="1171"/>
        <w:gridCol w:w="6828"/>
        <w:gridCol w:w="1591"/>
        <w:gridCol w:w="796"/>
        <w:gridCol w:w="1755"/>
        <w:gridCol w:w="810"/>
      </w:tblGrid>
      <w:tr w:rsidR="00263CD5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5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7</w:t>
            </w:r>
          </w:p>
        </w:tc>
      </w:tr>
      <w:tr w:rsidR="00263CD5">
        <w:trPr>
          <w:trHeight w:val="4710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Это искусства художественной постройки.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Это искусства выразительной формы.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Это искусство создает и организует пространственно-предметную среду.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Что необходимо знать, чтобы выбрать из перечисленных искусств искусства, относящиеся 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изобразительным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 Какие искусства называются изобразительными?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Слайды № 14–17).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Это искусство создания художественных образов.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Это искусство воплощения представлений о прекрасном.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Это искусство создается на плоскости или в пространстве и не изменяется во времени.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изобразительного искусства существуют специальные художественные материалы: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живописные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графические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скульптурные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Слайды № 18–21).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Перед вами произведения С.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Эрьзя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«Женский портрет», Т. А. Мавриной «Лимоны», 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«Автопортрет за мольбертом», В. А. Серова «Портрет К. С. Станиславского», Я.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Чернихова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«Архитектурный рисунок», а также различные художественные материалы: карандаши, уголь, акварель, масло, гуашь, глина, древесина, пастель, темпера… 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Определите, какими материалами пользовались художники, создавая данные произведения искусства? Разложите художественные материалы около тех картин, которые, по вашему мнению, соответствуют материалам, использованным художниками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Знакомятся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художественными материалами и их выразительными возможностями. Анализируют и сопоставляют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сравнивают художественные материалы по заданным критериям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3CD5">
        <w:trPr>
          <w:trHeight w:val="25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III. Творческая практическая деятельность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Исследовательский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Художники XX века посвятили свое творчество эксперименту. Их интересовали различные художественные техники, взаимодействие красочных фактур. Предлагаю и вам провести эксперимент.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Выполните задания (с. 22, 23)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Исследуют взаимодействие красочных фактур (творческий поиск)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Индивидуальная работа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различают художественные средства и их возможности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63CD5" w:rsidRDefault="00263CD5" w:rsidP="00263CD5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49"/>
        <w:gridCol w:w="1171"/>
        <w:gridCol w:w="6828"/>
        <w:gridCol w:w="1591"/>
        <w:gridCol w:w="796"/>
        <w:gridCol w:w="1755"/>
        <w:gridCol w:w="810"/>
      </w:tblGrid>
      <w:tr w:rsidR="00263CD5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5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16"/>
                <w:szCs w:val="16"/>
              </w:rPr>
              <w:t>7</w:t>
            </w:r>
          </w:p>
        </w:tc>
      </w:tr>
      <w:tr w:rsidR="00263CD5">
        <w:trPr>
          <w:trHeight w:val="255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IV. Итоги урока.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Рефлексия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Беседа 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форме «вопрос – ответ». Выставка работ учащихся</w:t>
            </w:r>
          </w:p>
        </w:tc>
        <w:tc>
          <w:tcPr>
            <w:tcW w:w="6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Художник – это профессия. В каждой профессии необходим мастер, умеющий создавать новое, строить замысел и находить средства для его воплощения. Что необходимо знать художнику, мастеру своего дела, чтобы его творческий процесс дал необходимый результат?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Создание произведений искусства – особый процесс. Их творец должен знать эстетические законы, владеть художественными материалами и техническими приемами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Отвечают 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поставленный вопрос.</w:t>
            </w: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художественный анализ детских рисунков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излагают свое мнение в диалоге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CD5" w:rsidRDefault="00263C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63CD5" w:rsidRDefault="00263CD5" w:rsidP="00263CD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A5061B" w:rsidRPr="00263CD5" w:rsidRDefault="00A5061B">
      <w:pPr>
        <w:rPr>
          <w:lang/>
        </w:rPr>
      </w:pPr>
    </w:p>
    <w:sectPr w:rsidR="00A5061B" w:rsidRPr="00263CD5" w:rsidSect="00263CD5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/>
  <w:rsids>
    <w:rsidRoot w:val="00263CD5"/>
    <w:rsid w:val="00263CD5"/>
    <w:rsid w:val="00A5061B"/>
    <w:rsid w:val="00F5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63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263CD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263CD5"/>
    <w:rPr>
      <w:color w:val="000000"/>
      <w:sz w:val="20"/>
      <w:szCs w:val="20"/>
    </w:rPr>
  </w:style>
  <w:style w:type="character" w:customStyle="1" w:styleId="Heading">
    <w:name w:val="Heading"/>
    <w:uiPriority w:val="99"/>
    <w:rsid w:val="00263CD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63CD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63CD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63CD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63CD5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2016-02-10T08:49:00Z</dcterms:created>
  <dcterms:modified xsi:type="dcterms:W3CDTF">2016-02-10T08:49:00Z</dcterms:modified>
</cp:coreProperties>
</file>