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9D" w:rsidRDefault="00FA689D" w:rsidP="00FA689D">
      <w:pPr>
        <w:shd w:val="clear" w:color="auto" w:fill="FFFFFF"/>
        <w:spacing w:before="150" w:after="0" w:line="450" w:lineRule="atLeast"/>
        <w:jc w:val="center"/>
        <w:outlineLvl w:val="0"/>
        <w:rPr>
          <w:rFonts w:ascii="Bookman Old Style" w:eastAsia="Times New Roman" w:hAnsi="Bookman Old Style" w:cs="Times New Roman"/>
          <w:color w:val="002060"/>
          <w:kern w:val="36"/>
          <w:sz w:val="40"/>
          <w:szCs w:val="40"/>
        </w:rPr>
      </w:pPr>
      <w:r>
        <w:rPr>
          <w:rFonts w:ascii="Bookman Old Style" w:eastAsia="Times New Roman" w:hAnsi="Bookman Old Style" w:cs="Times New Roman"/>
          <w:color w:val="002060"/>
          <w:kern w:val="36"/>
          <w:sz w:val="40"/>
          <w:szCs w:val="40"/>
        </w:rPr>
        <w:t>Консультация для родителей "Логические математические игры"</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Современная дошкольная педагогическая наука и практика ставят задачи создания наиболее эффективных условий для улучшения закономерности развития творчества в дошкольном возрасте. Особое значение приобретают вопросы формирования интеллектуальных умений и творческого воображения. Эти требования учтены в разработке новых подходов, методик и программ образования, воспитания и развития ребёнка. Образовательная программа «Детство» ставит важнейшие задачи по созданию благоприятных условий для самовыражения, максимальной реализации потенциальных возможностей дошкольников. Их решение связано с созданием условий для творческой активности, стимулирования воображения, желание включаться в деятельность творческой направленности.</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Старшим дошкольникам доступно более разностороннее знакомство с окружающими их предметами, анализ этих предметов становится не только глубже и тоньше, он идёт в разных направлениях. Предмет рассматривается с разных сторон и в разных планах. Развитие у детей логического мышления – это движение от целого к частям и их связям, а от них снова к целому. Таким образом, у детей формируются новые формы интеллектуальной деятельности, которые побуждаются мотивом – научиться решать «трудные задачи». Однако такое познание осуществляется детьми, как правило, не в форме понятий, а в наглядно-образной форме, в процессе предметной деятельности с познаваемыми объектами. Обучая детей обобщённым способам обследования предметов с помощью специально разработанных систем сенсорных эталонов можно значительно повысить уровень их зрительного восприятия. В результате такого обучения дети правильно воспринимают сложную форму предметов, оценивают пространственное отношение, пропорции и т.д.</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 Среди </w:t>
      </w:r>
      <w:proofErr w:type="gramStart"/>
      <w:r>
        <w:rPr>
          <w:rFonts w:ascii="Bookman Old Style" w:eastAsia="Times New Roman" w:hAnsi="Bookman Old Style" w:cs="Times New Roman"/>
          <w:color w:val="303F50"/>
          <w:sz w:val="28"/>
          <w:szCs w:val="28"/>
        </w:rPr>
        <w:t>материалов</w:t>
      </w:r>
      <w:proofErr w:type="gramEnd"/>
      <w:r>
        <w:rPr>
          <w:rFonts w:ascii="Bookman Old Style" w:eastAsia="Times New Roman" w:hAnsi="Bookman Old Style" w:cs="Times New Roman"/>
          <w:color w:val="303F50"/>
          <w:sz w:val="28"/>
          <w:szCs w:val="28"/>
        </w:rPr>
        <w:t xml:space="preserve"> предназначенных для развития творчества дошкольников, широкое распространение имеют различные виды строительных наборов, конструкторов, наборов с логическими блоками </w:t>
      </w:r>
      <w:proofErr w:type="spellStart"/>
      <w:r>
        <w:rPr>
          <w:rFonts w:ascii="Bookman Old Style" w:eastAsia="Times New Roman" w:hAnsi="Bookman Old Style" w:cs="Times New Roman"/>
          <w:color w:val="303F50"/>
          <w:sz w:val="28"/>
          <w:szCs w:val="28"/>
        </w:rPr>
        <w:t>Дьенеша</w:t>
      </w:r>
      <w:proofErr w:type="spellEnd"/>
      <w:r>
        <w:rPr>
          <w:rFonts w:ascii="Bookman Old Style" w:eastAsia="Times New Roman" w:hAnsi="Bookman Old Style" w:cs="Times New Roman"/>
          <w:color w:val="303F50"/>
          <w:sz w:val="28"/>
          <w:szCs w:val="28"/>
        </w:rPr>
        <w:t xml:space="preserve">, цветными счётными палочками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и разнообразных головоломок. Обучение математике детей дошкольного возраста немыслимо без использования занимательных задач, игр, развлечений. При </w:t>
      </w:r>
      <w:r>
        <w:rPr>
          <w:rFonts w:ascii="Bookman Old Style" w:eastAsia="Times New Roman" w:hAnsi="Bookman Old Style" w:cs="Times New Roman"/>
          <w:color w:val="303F50"/>
          <w:sz w:val="28"/>
          <w:szCs w:val="28"/>
        </w:rPr>
        <w:lastRenderedPageBreak/>
        <w:t>этом роль занимательного материала определяется с учётом возрастных возможностей детей и задач всестороннего развития и воспитания. Роль задач – активизировать умственную деятельность, уметь планировать свои действия, обдумывать их, искать ответ, проявляя при этом творчество. Такая работа активизирует мыслительную деятельность ребёнка, развивает ум, позволяет расширять, углублять математические представления, закреплять полученные знания и умения, упражнять в применении их в других видах деятельности, в новой обстановке.</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В программе «Детство» задачи по развитию творческих проявлений дошкольников в математической деятельности представлены автором З.А. Михайловой, чей опыт и методические разработки я использую в своей работе по организации развивающих игр, так же мной используются методические советы и рекомендации программы по математике автора Е.М. Фадеевой. Целью исследования является изучение возможности творческих проявлений и развития логического мышления при обучении детей дидактическим играм с палочками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логическими блоками </w:t>
      </w:r>
      <w:proofErr w:type="spellStart"/>
      <w:r>
        <w:rPr>
          <w:rFonts w:ascii="Bookman Old Style" w:eastAsia="Times New Roman" w:hAnsi="Bookman Old Style" w:cs="Times New Roman"/>
          <w:color w:val="303F50"/>
          <w:sz w:val="28"/>
          <w:szCs w:val="28"/>
        </w:rPr>
        <w:t>Дьенеша</w:t>
      </w:r>
      <w:proofErr w:type="spellEnd"/>
      <w:r>
        <w:rPr>
          <w:rFonts w:ascii="Bookman Old Style" w:eastAsia="Times New Roman" w:hAnsi="Bookman Old Style" w:cs="Times New Roman"/>
          <w:color w:val="303F50"/>
          <w:sz w:val="28"/>
          <w:szCs w:val="28"/>
        </w:rPr>
        <w:t xml:space="preserve"> и играм головоломкам на преобразование фигур.</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  </w:t>
      </w:r>
    </w:p>
    <w:p w:rsidR="00FA689D" w:rsidRDefault="00FA689D" w:rsidP="00FA689D">
      <w:pPr>
        <w:shd w:val="clear" w:color="auto" w:fill="FFFFFF"/>
        <w:spacing w:before="150" w:after="150" w:line="293" w:lineRule="atLeast"/>
        <w:jc w:val="center"/>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 xml:space="preserve">1. Палочки </w:t>
      </w:r>
      <w:proofErr w:type="spellStart"/>
      <w:r>
        <w:rPr>
          <w:rFonts w:ascii="Bookman Old Style" w:eastAsia="Times New Roman" w:hAnsi="Bookman Old Style" w:cs="Times New Roman"/>
          <w:b/>
          <w:bCs/>
          <w:i/>
          <w:iCs/>
          <w:color w:val="303F50"/>
          <w:sz w:val="28"/>
          <w:szCs w:val="28"/>
        </w:rPr>
        <w:t>Кюизенера</w:t>
      </w:r>
      <w:proofErr w:type="spellEnd"/>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Во всём мире широко известен дидактический материал, разработанный бельгийским математиком Х. </w:t>
      </w:r>
      <w:proofErr w:type="spellStart"/>
      <w:r>
        <w:rPr>
          <w:rFonts w:ascii="Bookman Old Style" w:eastAsia="Times New Roman" w:hAnsi="Bookman Old Style" w:cs="Times New Roman"/>
          <w:color w:val="303F50"/>
          <w:sz w:val="28"/>
          <w:szCs w:val="28"/>
        </w:rPr>
        <w:t>Кюизенером</w:t>
      </w:r>
      <w:proofErr w:type="spellEnd"/>
      <w:r>
        <w:rPr>
          <w:rFonts w:ascii="Bookman Old Style" w:eastAsia="Times New Roman" w:hAnsi="Bookman Old Style" w:cs="Times New Roman"/>
          <w:color w:val="303F50"/>
          <w:sz w:val="28"/>
          <w:szCs w:val="28"/>
        </w:rPr>
        <w:t xml:space="preserve">. Он предназначен для обучения математике, начиная с младших групп детского сада. Палочки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называют ещё цветными палочками, цветными числами, цветными линеечками, счётными палочками. Палочки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как дидактическое средство в полной мере соответствует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 – действенного и наглядно – образного, использования «чисел в цвете» позволяет развивать у дошкольников представление о числе на основе счёта и измерения. Палочки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(цветные числа) – это набор цветных палочек сечением 1 см и длиной 1, 2, 3, 4, 5, 6, 7, 8, 9, 10 см.</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Эти палочки представляют следующие классы чисел:</w:t>
      </w:r>
    </w:p>
    <w:p w:rsidR="00FA689D" w:rsidRDefault="00FA689D" w:rsidP="00FA689D">
      <w:pPr>
        <w:shd w:val="clear" w:color="auto" w:fill="FFFFFF"/>
        <w:spacing w:before="150" w:after="150" w:line="293" w:lineRule="atLeast"/>
        <w:ind w:left="180" w:hanging="18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lastRenderedPageBreak/>
        <w:t>- Класс белых чисел образует число один. Он представлен белыми палочками.</w:t>
      </w:r>
    </w:p>
    <w:p w:rsidR="00FA689D" w:rsidRDefault="00FA689D" w:rsidP="00FA689D">
      <w:pPr>
        <w:shd w:val="clear" w:color="auto" w:fill="FFFFFF"/>
        <w:spacing w:before="150" w:after="150" w:line="293" w:lineRule="atLeast"/>
        <w:ind w:left="180" w:hanging="18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 Класс красных чисел – числа кратные двум (2, 4, 8). Это палочки </w:t>
      </w:r>
      <w:proofErr w:type="spellStart"/>
      <w:r>
        <w:rPr>
          <w:rFonts w:ascii="Bookman Old Style" w:eastAsia="Times New Roman" w:hAnsi="Bookman Old Style" w:cs="Times New Roman"/>
          <w:color w:val="303F50"/>
          <w:sz w:val="28"/>
          <w:szCs w:val="28"/>
        </w:rPr>
        <w:t>розового</w:t>
      </w:r>
      <w:proofErr w:type="spellEnd"/>
      <w:r>
        <w:rPr>
          <w:rFonts w:ascii="Bookman Old Style" w:eastAsia="Times New Roman" w:hAnsi="Bookman Old Style" w:cs="Times New Roman"/>
          <w:color w:val="303F50"/>
          <w:sz w:val="28"/>
          <w:szCs w:val="28"/>
        </w:rPr>
        <w:t xml:space="preserve"> (2), красного (4), вишнёвого (8) цветов.</w:t>
      </w:r>
    </w:p>
    <w:p w:rsidR="00FA689D" w:rsidRDefault="00FA689D" w:rsidP="00FA689D">
      <w:pPr>
        <w:shd w:val="clear" w:color="auto" w:fill="FFFFFF"/>
        <w:spacing w:before="150" w:after="150" w:line="293" w:lineRule="atLeast"/>
        <w:ind w:left="180" w:hanging="18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 Класс синих чисел – числа, кратные трём (3, 6, 9). Это палочки </w:t>
      </w:r>
      <w:proofErr w:type="spellStart"/>
      <w:r>
        <w:rPr>
          <w:rFonts w:ascii="Bookman Old Style" w:eastAsia="Times New Roman" w:hAnsi="Bookman Old Style" w:cs="Times New Roman"/>
          <w:color w:val="303F50"/>
          <w:sz w:val="28"/>
          <w:szCs w:val="28"/>
        </w:rPr>
        <w:t>голубого</w:t>
      </w:r>
      <w:proofErr w:type="spellEnd"/>
      <w:r>
        <w:rPr>
          <w:rFonts w:ascii="Bookman Old Style" w:eastAsia="Times New Roman" w:hAnsi="Bookman Old Style" w:cs="Times New Roman"/>
          <w:color w:val="303F50"/>
          <w:sz w:val="28"/>
          <w:szCs w:val="28"/>
        </w:rPr>
        <w:t xml:space="preserve"> (3), фиолетового (6), синего (9) цветов.</w:t>
      </w:r>
    </w:p>
    <w:p w:rsidR="00FA689D" w:rsidRDefault="00FA689D" w:rsidP="00FA689D">
      <w:pPr>
        <w:shd w:val="clear" w:color="auto" w:fill="FFFFFF"/>
        <w:spacing w:before="150" w:after="150" w:line="293" w:lineRule="atLeast"/>
        <w:ind w:left="180" w:hanging="18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Класс жёлтых чисел – числа кратные пяти (5, 10). Он представлен палочками жёлтого (5) и оранжевого (10) цвета.</w:t>
      </w:r>
    </w:p>
    <w:p w:rsidR="00FA689D" w:rsidRDefault="00FA689D" w:rsidP="00FA689D">
      <w:pPr>
        <w:shd w:val="clear" w:color="auto" w:fill="FFFFFF"/>
        <w:spacing w:before="150" w:after="150" w:line="293" w:lineRule="atLeast"/>
        <w:ind w:left="180" w:hanging="18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Класс чёрных чисел образует число семь. Это палочки чёрного цвета.</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Используются «цветные числа» и в виде плоских полосок, окрашенных в те же цвета. Они больше по размеру (длина белой полоски 2 см), с ними легче манипулировать в процессе игры.</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Палочки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позволяют моделировать числа, свойства, отношения, зависимости между ними с помощью цвета и длины. Они вызываю живой интерес детей, развивают активность и самостоятельность в поиске способов действия с материалом, путей решения мысленных задач.</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Первый этап.</w:t>
      </w:r>
      <w:r>
        <w:rPr>
          <w:rFonts w:ascii="Bookman Old Style" w:eastAsia="Times New Roman" w:hAnsi="Bookman Old Style" w:cs="Times New Roman"/>
          <w:color w:val="303F50"/>
          <w:sz w:val="28"/>
          <w:szCs w:val="28"/>
        </w:rPr>
        <w:t xml:space="preserve"> Палочки </w:t>
      </w:r>
      <w:proofErr w:type="spellStart"/>
      <w:r>
        <w:rPr>
          <w:rFonts w:ascii="Bookman Old Style" w:eastAsia="Times New Roman" w:hAnsi="Bookman Old Style" w:cs="Times New Roman"/>
          <w:color w:val="303F50"/>
          <w:sz w:val="28"/>
          <w:szCs w:val="28"/>
        </w:rPr>
        <w:t>Кюизенера</w:t>
      </w:r>
      <w:proofErr w:type="spellEnd"/>
      <w:r>
        <w:rPr>
          <w:rFonts w:ascii="Bookman Old Style" w:eastAsia="Times New Roman" w:hAnsi="Bookman Old Style" w:cs="Times New Roman"/>
          <w:color w:val="303F50"/>
          <w:sz w:val="28"/>
          <w:szCs w:val="28"/>
        </w:rPr>
        <w:t xml:space="preserve"> вначале используются как игровой материал. Дети играют с ними, как с обыкновенными кубиками и палочками, создают различные конфигурации. Их привлекают конкретные образцы, а также качественные характеристики материала – цвет, размер, форма. Однако уже во время игры с палочками дети открывают некоторые отношения: они замечают одинаковость длины палочек, одинаковость сечения и др. Игры, которые проводятся с детьми на этом этапе, даны в планировании на начало учебного года в старшей группе.</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Второй этап.</w:t>
      </w:r>
      <w:r>
        <w:rPr>
          <w:rFonts w:ascii="Bookman Old Style" w:eastAsia="Times New Roman" w:hAnsi="Bookman Old Style" w:cs="Times New Roman"/>
          <w:color w:val="303F50"/>
          <w:sz w:val="28"/>
          <w:szCs w:val="28"/>
        </w:rPr>
        <w:t> Пространственно – количественные характеристики не столь очевидны для детей, как цвет, форма, размер. Открыть их можно в совместной деятельности взрослого и ребёнка. При этом взрослый не ограничивается внешним показом и прочтением готовых конфигураций, а даёт возможность выбирать действие самому ребёнку. Тогда каждая игра будет радостным открытием нового. Ребёнок быстро научится переводить (декодировать) игру красок в числовые отношения, постигать законы загадочного мира чисел.</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На данном этапе проводятся игры:</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на соответствие между цветом, длиной и числом;</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lastRenderedPageBreak/>
        <w:t>- на значение чисел и их цветовых изображений;</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на элементы комбинаторики;</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на действия сложения, вычитания, умножения и деления.</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С помощью игры по составлению коврика (салфетки, флажка) углубляются знания по составу чисел, определяется зависимость между длиной стороны и площадью, изучение свойств чисел натурального ряда, чётные, нечётные числа при построении вертикальных, горизонтальных и симметричных цветных лесенок.</w:t>
      </w:r>
    </w:p>
    <w:p w:rsidR="00FA689D" w:rsidRDefault="00FA689D" w:rsidP="00FA689D">
      <w:pPr>
        <w:shd w:val="clear" w:color="auto" w:fill="FFFFFF"/>
        <w:spacing w:before="150" w:after="150" w:line="293" w:lineRule="atLeast"/>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  </w:t>
      </w:r>
    </w:p>
    <w:p w:rsidR="00FA689D" w:rsidRDefault="00FA689D" w:rsidP="00FA689D">
      <w:pPr>
        <w:shd w:val="clear" w:color="auto" w:fill="FFFFFF"/>
        <w:spacing w:before="150" w:after="150" w:line="293" w:lineRule="atLeast"/>
        <w:jc w:val="center"/>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 xml:space="preserve">2. Логические блоки </w:t>
      </w:r>
      <w:proofErr w:type="spellStart"/>
      <w:r>
        <w:rPr>
          <w:rFonts w:ascii="Bookman Old Style" w:eastAsia="Times New Roman" w:hAnsi="Bookman Old Style" w:cs="Times New Roman"/>
          <w:b/>
          <w:bCs/>
          <w:i/>
          <w:iCs/>
          <w:color w:val="303F50"/>
          <w:sz w:val="28"/>
          <w:szCs w:val="28"/>
        </w:rPr>
        <w:t>Дьенеша</w:t>
      </w:r>
      <w:proofErr w:type="spellEnd"/>
      <w:r>
        <w:rPr>
          <w:rFonts w:ascii="Bookman Old Style" w:eastAsia="Times New Roman" w:hAnsi="Bookman Old Style" w:cs="Times New Roman"/>
          <w:b/>
          <w:bCs/>
          <w:i/>
          <w:iCs/>
          <w:color w:val="303F50"/>
          <w:sz w:val="28"/>
          <w:szCs w:val="28"/>
        </w:rPr>
        <w:t xml:space="preserve"> (ЛБД)</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Логические блоки </w:t>
      </w:r>
      <w:proofErr w:type="spellStart"/>
      <w:r>
        <w:rPr>
          <w:rFonts w:ascii="Bookman Old Style" w:eastAsia="Times New Roman" w:hAnsi="Bookman Old Style" w:cs="Times New Roman"/>
          <w:color w:val="303F50"/>
          <w:sz w:val="28"/>
          <w:szCs w:val="28"/>
        </w:rPr>
        <w:t>Дьенеша</w:t>
      </w:r>
      <w:proofErr w:type="spellEnd"/>
      <w:r>
        <w:rPr>
          <w:rFonts w:ascii="Bookman Old Style" w:eastAsia="Times New Roman" w:hAnsi="Bookman Old Style" w:cs="Times New Roman"/>
          <w:color w:val="303F50"/>
          <w:sz w:val="28"/>
          <w:szCs w:val="28"/>
        </w:rPr>
        <w:t xml:space="preserve"> (ЛБД) – абстрактно – дидактическое средство, которое является наиболее эффективным пособием для подготовки мышления детей к усвоению математики.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жёлтый, синий), четыре формы (круг, квадрат, треугольник, прямоугольник), по две характеристики величины (большой, маленький) и толщины (тонкий</w:t>
      </w:r>
      <w:proofErr w:type="gramStart"/>
      <w:r>
        <w:rPr>
          <w:rFonts w:ascii="Bookman Old Style" w:eastAsia="Times New Roman" w:hAnsi="Bookman Old Style" w:cs="Times New Roman"/>
          <w:color w:val="303F50"/>
          <w:sz w:val="28"/>
          <w:szCs w:val="28"/>
        </w:rPr>
        <w:t xml:space="preserve"> ,</w:t>
      </w:r>
      <w:proofErr w:type="gramEnd"/>
      <w:r>
        <w:rPr>
          <w:rFonts w:ascii="Bookman Old Style" w:eastAsia="Times New Roman" w:hAnsi="Bookman Old Style" w:cs="Times New Roman"/>
          <w:color w:val="303F50"/>
          <w:sz w:val="28"/>
          <w:szCs w:val="28"/>
        </w:rPr>
        <w:t xml:space="preserve"> толстый). </w:t>
      </w:r>
      <w:proofErr w:type="gramStart"/>
      <w:r>
        <w:rPr>
          <w:rFonts w:ascii="Bookman Old Style" w:eastAsia="Times New Roman" w:hAnsi="Bookman Old Style" w:cs="Times New Roman"/>
          <w:color w:val="303F50"/>
          <w:sz w:val="28"/>
          <w:szCs w:val="28"/>
        </w:rPr>
        <w:t>ЛБД позволяют моделировать множества с заданными свойствами, например, создавать множество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w:t>
      </w:r>
      <w:proofErr w:type="gramEnd"/>
      <w:r>
        <w:rPr>
          <w:rFonts w:ascii="Bookman Old Style" w:eastAsia="Times New Roman" w:hAnsi="Bookman Old Style" w:cs="Times New Roman"/>
          <w:color w:val="303F50"/>
          <w:sz w:val="28"/>
          <w:szCs w:val="28"/>
        </w:rPr>
        <w:t xml:space="preserve"> Освоить их помогают высказывания с использованием специальных слов: «и, или», «не», «все», «любой», «каждый» и др. Итак, играя с блоками, ребёнок приближается к пониманию сложных логических отношений между множествами. От игр с абстрактными блокам дети легко и с удовольствием переходят к играм с реальными множествами, с конкретным «жизненным» материалом.</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 xml:space="preserve">Кроме логических блоков для работы необходимы карточки (5 </w:t>
      </w:r>
      <w:proofErr w:type="spellStart"/>
      <w:r>
        <w:rPr>
          <w:rFonts w:ascii="Bookman Old Style" w:eastAsia="Times New Roman" w:hAnsi="Bookman Old Style" w:cs="Times New Roman"/>
          <w:color w:val="303F50"/>
          <w:sz w:val="28"/>
          <w:szCs w:val="28"/>
        </w:rPr>
        <w:t>х</w:t>
      </w:r>
      <w:proofErr w:type="spellEnd"/>
      <w:r>
        <w:rPr>
          <w:rFonts w:ascii="Bookman Old Style" w:eastAsia="Times New Roman" w:hAnsi="Bookman Old Style" w:cs="Times New Roman"/>
          <w:color w:val="303F50"/>
          <w:sz w:val="28"/>
          <w:szCs w:val="28"/>
        </w:rPr>
        <w:t xml:space="preserve"> 5 см), на которых условно обозначены свойства блоков (цвет, форма, размер, толщина), понадобятся и карточки с отрицанием свойств: не квадратный; не синий и т.д. Использование таких карточек позволяет развивать у детей способность к замещению и моделированию свойств, умению </w:t>
      </w:r>
      <w:r>
        <w:rPr>
          <w:rFonts w:ascii="Bookman Old Style" w:eastAsia="Times New Roman" w:hAnsi="Bookman Old Style" w:cs="Times New Roman"/>
          <w:color w:val="303F50"/>
          <w:sz w:val="28"/>
          <w:szCs w:val="28"/>
        </w:rPr>
        <w:lastRenderedPageBreak/>
        <w:t>кодировать и декодировать информацию о них. Карточки – свойства помогают детям перейти от наглядно – образного мышления к наглядно – схематическому, а карточки с отрицанием свойств – крохотный мостик к словесно – логическому мышлению.</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color w:val="303F50"/>
          <w:sz w:val="28"/>
          <w:szCs w:val="28"/>
        </w:rPr>
        <w:t>В процессе разнообразных действий с блоками в одном упражнении можно варьировать правила выполнения задания с учётом возможностей детей. Например, несколько детей строят дорожки от дома медведя, чтобы помочь Машеньке убежать к дедушке и бабушке. Но одному ребёнку предлагается построить дорожку так, чтобы рядом не было блоков одинаковой формы (оперирование одним свойством), другому – чтобы рядом не было одинаковых по форме и цвету блоков (оперирование сразу двумя свойствами), третьему – чтобы не было одинаковых по форме, цвету, размеру блоков (3 свойства).</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Первый этап.</w:t>
      </w:r>
      <w:r>
        <w:rPr>
          <w:rFonts w:ascii="Bookman Old Style" w:eastAsia="Times New Roman" w:hAnsi="Bookman Old Style" w:cs="Times New Roman"/>
          <w:color w:val="303F50"/>
          <w:sz w:val="28"/>
          <w:szCs w:val="28"/>
        </w:rPr>
        <w:t xml:space="preserve"> Блоки </w:t>
      </w:r>
      <w:proofErr w:type="spellStart"/>
      <w:r>
        <w:rPr>
          <w:rFonts w:ascii="Bookman Old Style" w:eastAsia="Times New Roman" w:hAnsi="Bookman Old Style" w:cs="Times New Roman"/>
          <w:color w:val="303F50"/>
          <w:sz w:val="28"/>
          <w:szCs w:val="28"/>
        </w:rPr>
        <w:t>Дьенеша</w:t>
      </w:r>
      <w:proofErr w:type="spellEnd"/>
      <w:r>
        <w:rPr>
          <w:rFonts w:ascii="Bookman Old Style" w:eastAsia="Times New Roman" w:hAnsi="Bookman Old Style" w:cs="Times New Roman"/>
          <w:color w:val="303F50"/>
          <w:sz w:val="28"/>
          <w:szCs w:val="28"/>
        </w:rPr>
        <w:t xml:space="preserve"> привлекают внимание </w:t>
      </w:r>
      <w:proofErr w:type="gramStart"/>
      <w:r>
        <w:rPr>
          <w:rFonts w:ascii="Bookman Old Style" w:eastAsia="Times New Roman" w:hAnsi="Bookman Old Style" w:cs="Times New Roman"/>
          <w:color w:val="303F50"/>
          <w:sz w:val="28"/>
          <w:szCs w:val="28"/>
        </w:rPr>
        <w:t>детей</w:t>
      </w:r>
      <w:proofErr w:type="gramEnd"/>
      <w:r>
        <w:rPr>
          <w:rFonts w:ascii="Bookman Old Style" w:eastAsia="Times New Roman" w:hAnsi="Bookman Old Style" w:cs="Times New Roman"/>
          <w:color w:val="303F50"/>
          <w:sz w:val="28"/>
          <w:szCs w:val="28"/>
        </w:rPr>
        <w:t xml:space="preserve"> прежде всего своими качественными признаками: цветом, формой, размером, толщиной. Дети сразу же выделяют их самостоятельно; группируют по этим признакам, выстраивают разнообразные структуры, но чащ художественные композиции (узоры, сюжеты). Однако уже на этом этапе поможем ребёнку выделять и обозначать свойства (кодовые карточки), а также воссоздать (моделировать) блок не только по его отдельному свойству, но и по целому объёму свойств. Детям предлагаются игры типа «Угадай цвет», «Давайте познакомимся», «Найди блок», «дружат – не дружат» и др.</w:t>
      </w:r>
    </w:p>
    <w:p w:rsidR="00FA689D" w:rsidRDefault="00FA689D" w:rsidP="00FA689D">
      <w:pPr>
        <w:shd w:val="clear" w:color="auto" w:fill="FFFFFF"/>
        <w:spacing w:before="150" w:after="150" w:line="293" w:lineRule="atLeast"/>
        <w:ind w:firstLine="720"/>
        <w:jc w:val="both"/>
        <w:rPr>
          <w:rFonts w:ascii="Bookman Old Style" w:eastAsia="Times New Roman" w:hAnsi="Bookman Old Style" w:cs="Times New Roman"/>
          <w:color w:val="303F50"/>
          <w:sz w:val="28"/>
          <w:szCs w:val="28"/>
        </w:rPr>
      </w:pPr>
      <w:r>
        <w:rPr>
          <w:rFonts w:ascii="Bookman Old Style" w:eastAsia="Times New Roman" w:hAnsi="Bookman Old Style" w:cs="Times New Roman"/>
          <w:b/>
          <w:bCs/>
          <w:i/>
          <w:iCs/>
          <w:color w:val="303F50"/>
          <w:sz w:val="28"/>
          <w:szCs w:val="28"/>
        </w:rPr>
        <w:t>Второй этап.</w:t>
      </w:r>
      <w:r>
        <w:rPr>
          <w:rFonts w:ascii="Bookman Old Style" w:eastAsia="Times New Roman" w:hAnsi="Bookman Old Style" w:cs="Times New Roman"/>
          <w:color w:val="303F50"/>
          <w:sz w:val="28"/>
          <w:szCs w:val="28"/>
        </w:rPr>
        <w:t xml:space="preserve"> На втором этапе дети играют на преобразование, группируют и классифицируют блоки, а также реальные предметы. В играх на группирование, играющие разбивают множества по какому – либо одному признаку (по размеру или толщине, цвету или форме) на несколько групп. </w:t>
      </w:r>
      <w:proofErr w:type="gramStart"/>
      <w:r>
        <w:rPr>
          <w:rFonts w:ascii="Bookman Old Style" w:eastAsia="Times New Roman" w:hAnsi="Bookman Old Style" w:cs="Times New Roman"/>
          <w:color w:val="303F50"/>
          <w:sz w:val="28"/>
          <w:szCs w:val="28"/>
        </w:rPr>
        <w:t>Например, по толщине и по размеру блоки можно разбить только на 2 группы (тонкие и толстые, большие и маленькие), по цвету – уже на 3 группы (красные, синие и жёлтые), а по форме – на 4 группы (круглые, треугольные, квадратные, прямоугольные).</w:t>
      </w:r>
      <w:proofErr w:type="gramEnd"/>
      <w:r>
        <w:rPr>
          <w:rFonts w:ascii="Bookman Old Style" w:eastAsia="Times New Roman" w:hAnsi="Bookman Old Style" w:cs="Times New Roman"/>
          <w:color w:val="303F50"/>
          <w:sz w:val="28"/>
          <w:szCs w:val="28"/>
        </w:rPr>
        <w:t xml:space="preserve"> Игры на классификацию сложны, но </w:t>
      </w:r>
      <w:proofErr w:type="gramStart"/>
      <w:r>
        <w:rPr>
          <w:rFonts w:ascii="Bookman Old Style" w:eastAsia="Times New Roman" w:hAnsi="Bookman Old Style" w:cs="Times New Roman"/>
          <w:color w:val="303F50"/>
          <w:sz w:val="28"/>
          <w:szCs w:val="28"/>
        </w:rPr>
        <w:t>всё</w:t>
      </w:r>
      <w:proofErr w:type="gramEnd"/>
      <w:r>
        <w:rPr>
          <w:rFonts w:ascii="Bookman Old Style" w:eastAsia="Times New Roman" w:hAnsi="Bookman Old Style" w:cs="Times New Roman"/>
          <w:color w:val="303F50"/>
          <w:sz w:val="28"/>
          <w:szCs w:val="28"/>
        </w:rPr>
        <w:t xml:space="preserve"> же доступны для детей. Так, классифицируя по двум свойствам толщине и размеру, - получают 4 класса блоков: большие и толстые; маленькие и толстые; большие и тонкие; маленькие и тонкие. Выделить и охарактеризовать получившиеся классы помогает приём, в котором круги Эйлера - Венна, уже известные по играм с обручами, моделируются с помощью шнуров.</w:t>
      </w:r>
    </w:p>
    <w:p w:rsidR="00FA689D" w:rsidRDefault="00FA689D" w:rsidP="00FA689D">
      <w:pPr>
        <w:jc w:val="both"/>
        <w:rPr>
          <w:rFonts w:ascii="Bookman Old Style" w:hAnsi="Bookman Old Style"/>
          <w:sz w:val="28"/>
          <w:szCs w:val="28"/>
        </w:rPr>
      </w:pPr>
      <w:r>
        <w:rPr>
          <w:rFonts w:ascii="Bookman Old Style" w:hAnsi="Bookman Old Style"/>
          <w:color w:val="303F50"/>
          <w:sz w:val="28"/>
          <w:szCs w:val="28"/>
          <w:shd w:val="clear" w:color="auto" w:fill="FFFFFF"/>
        </w:rPr>
        <w:lastRenderedPageBreak/>
        <w:t xml:space="preserve">Знакомить детей с играми надо постепенно, важно, чтобы дети усвоили и хорошо запомнили основные правила игры: при составлении силуэтов используется весь комплект, детали геометрического конструктора при этом плотно присоединяются друг к другу. Игровая деятельность детей организуется по-разному и может осуществляться двумя путями. Первый путь предполагает составление фигур-силуэтов из частей по расчленённому образцу. Упражнения по составлению фигур-силуэтов начинаются с рассматривания образца. </w:t>
      </w:r>
    </w:p>
    <w:p w:rsidR="00FA689D" w:rsidRDefault="00FA689D" w:rsidP="00FA689D">
      <w:pPr>
        <w:tabs>
          <w:tab w:val="left" w:pos="1620"/>
        </w:tabs>
        <w:rPr>
          <w:sz w:val="28"/>
          <w:szCs w:val="28"/>
        </w:rPr>
      </w:pPr>
      <w:r>
        <w:rPr>
          <w:sz w:val="28"/>
          <w:szCs w:val="28"/>
        </w:rPr>
        <w:tab/>
      </w:r>
    </w:p>
    <w:p w:rsidR="00FA689D" w:rsidRDefault="00FA689D" w:rsidP="00FA689D">
      <w:pPr>
        <w:tabs>
          <w:tab w:val="left" w:pos="3030"/>
        </w:tabs>
        <w:rPr>
          <w:sz w:val="28"/>
          <w:szCs w:val="28"/>
        </w:rPr>
      </w:pPr>
    </w:p>
    <w:p w:rsidR="00FA689D" w:rsidRDefault="00FA689D" w:rsidP="00FA689D">
      <w:pPr>
        <w:tabs>
          <w:tab w:val="left" w:pos="3030"/>
          <w:tab w:val="center" w:pos="5244"/>
          <w:tab w:val="left" w:pos="8535"/>
        </w:tabs>
        <w:rPr>
          <w:b/>
          <w:i/>
          <w:sz w:val="28"/>
          <w:szCs w:val="28"/>
        </w:rPr>
      </w:pPr>
    </w:p>
    <w:p w:rsidR="00FA689D" w:rsidRDefault="00FA689D" w:rsidP="00FA689D">
      <w:pPr>
        <w:pStyle w:val="Default"/>
        <w:rPr>
          <w:sz w:val="28"/>
          <w:szCs w:val="28"/>
        </w:rPr>
      </w:pPr>
    </w:p>
    <w:p w:rsidR="00FA689D" w:rsidRDefault="00FA689D" w:rsidP="00FA689D"/>
    <w:p w:rsidR="00D12232" w:rsidRDefault="00D12232"/>
    <w:sectPr w:rsidR="00D12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89D"/>
    <w:rsid w:val="00D12232"/>
    <w:rsid w:val="00FA6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68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287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1651</Words>
  <Characters>9412</Characters>
  <Application>Microsoft Office Word</Application>
  <DocSecurity>0</DocSecurity>
  <Lines>78</Lines>
  <Paragraphs>22</Paragraphs>
  <ScaleCrop>false</ScaleCrop>
  <Company>Reanimator Extreme Edition</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2015-11-29T13:15:00Z</dcterms:created>
  <dcterms:modified xsi:type="dcterms:W3CDTF">2015-11-29T13:21:00Z</dcterms:modified>
</cp:coreProperties>
</file>