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детский сад № 6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352913, Российская Федерация, Краснодарский край,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10"/>
          <w:color w:val="000000"/>
          <w:sz w:val="28"/>
          <w:szCs w:val="28"/>
        </w:rPr>
        <w:t>г</w:t>
      </w:r>
      <w:proofErr w:type="gramEnd"/>
      <w:r>
        <w:rPr>
          <w:rStyle w:val="c10"/>
          <w:color w:val="000000"/>
          <w:sz w:val="28"/>
          <w:szCs w:val="28"/>
        </w:rPr>
        <w:t>. Армавир, ул. Маркова, д.317, (тел: 8 861 37 5 25 81)</w:t>
      </w: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КОНСПЕКТ  ЗАНЯТИЯ</w:t>
      </w:r>
    </w:p>
    <w:p w:rsidR="003740AA" w:rsidRDefault="003740AA" w:rsidP="003740AA">
      <w:pPr>
        <w:pStyle w:val="c7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ПО ХУДОЖЕСТВЕНН</w:t>
      </w:r>
      <w:proofErr w:type="gramStart"/>
      <w:r>
        <w:rPr>
          <w:rStyle w:val="c10"/>
          <w:color w:val="000000"/>
          <w:sz w:val="28"/>
          <w:szCs w:val="28"/>
        </w:rPr>
        <w:t>О-</w:t>
      </w:r>
      <w:proofErr w:type="gramEnd"/>
      <w:r>
        <w:rPr>
          <w:rStyle w:val="c10"/>
          <w:color w:val="000000"/>
          <w:sz w:val="28"/>
          <w:szCs w:val="28"/>
        </w:rPr>
        <w:t xml:space="preserve"> ЭСТЕТИЧЕСКОМУ РАЗВИТИЮ </w:t>
      </w: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В СРЕДНЕЙ  ГРУППЕ ПО ТЕМЕ:</w:t>
      </w:r>
    </w:p>
    <w:p w:rsidR="003740AA" w:rsidRPr="003740AA" w:rsidRDefault="003740AA" w:rsidP="003740AA">
      <w:pPr>
        <w:pStyle w:val="c7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</w:t>
      </w:r>
      <w:r w:rsidRPr="003740AA">
        <w:rPr>
          <w:rStyle w:val="c5"/>
          <w:color w:val="000000"/>
          <w:sz w:val="28"/>
          <w:szCs w:val="28"/>
        </w:rPr>
        <w:t>«</w:t>
      </w:r>
      <w:r w:rsidRPr="003740AA">
        <w:rPr>
          <w:color w:val="000000"/>
          <w:sz w:val="28"/>
          <w:szCs w:val="28"/>
        </w:rPr>
        <w:t>ЖИВАЯ И НЕЖИВАЯ ПРИРОДА</w:t>
      </w:r>
      <w:r w:rsidRPr="003740AA">
        <w:rPr>
          <w:rStyle w:val="c5"/>
          <w:color w:val="000000"/>
          <w:sz w:val="28"/>
          <w:szCs w:val="28"/>
        </w:rPr>
        <w:t>»</w:t>
      </w:r>
    </w:p>
    <w:p w:rsidR="003740AA" w:rsidRDefault="003740AA" w:rsidP="003740AA">
      <w:pPr>
        <w:pStyle w:val="c15"/>
        <w:spacing w:before="0" w:beforeAutospacing="0" w:after="0" w:afterAutospacing="0"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t>( Путешествие в прекрасное.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О.А.Куревина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, Г.Е. Селезнева (Образовательная система "Школа 2100", Образовательная программа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"Д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етский сад 2100")).</w:t>
      </w: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                            </w:t>
      </w: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                                                                        </w:t>
      </w: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 w:line="320" w:lineRule="atLeast"/>
        <w:ind w:left="4956"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ПОДГОТОВИЛА:</w:t>
      </w:r>
    </w:p>
    <w:p w:rsidR="003740AA" w:rsidRDefault="003740AA" w:rsidP="003740AA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</w:rPr>
        <w:t>                                                                                         воспитатель</w:t>
      </w:r>
    </w:p>
    <w:p w:rsidR="003740AA" w:rsidRDefault="003740AA" w:rsidP="003740AA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</w:rPr>
        <w:t>                                                                                         МАДОУ  №6 г. Армавира</w:t>
      </w:r>
    </w:p>
    <w:p w:rsidR="003740AA" w:rsidRDefault="003740AA" w:rsidP="003740AA">
      <w:pPr>
        <w:pStyle w:val="c4"/>
        <w:spacing w:before="0" w:beforeAutospacing="0" w:after="0" w:afterAutospacing="0"/>
        <w:ind w:left="25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</w:rPr>
        <w:t>                                                    Сивокабыльская В. А.</w:t>
      </w:r>
    </w:p>
    <w:p w:rsidR="003740AA" w:rsidRDefault="003740AA" w:rsidP="003740AA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3740AA" w:rsidRDefault="003740AA" w:rsidP="003740AA">
      <w:pPr>
        <w:pStyle w:val="c7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Армавир 2015</w:t>
      </w:r>
    </w:p>
    <w:p w:rsidR="003740AA" w:rsidRDefault="003740AA" w:rsidP="0086307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740AA" w:rsidRDefault="003740AA" w:rsidP="0086307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740AA" w:rsidRDefault="003740AA" w:rsidP="0086307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63073" w:rsidRPr="00863073" w:rsidRDefault="00863073" w:rsidP="0086307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нспект занятия по художественн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эстетическому развитию в средней группе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Живая и неживая природа.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жанром «натюрморт».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Учить детей воссоздавать в памяти и называть овощи, растущие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огороде, их цвет, объём. Находить их цвета на палитре, на картине.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</w:t>
      </w:r>
    </w:p>
    <w:p w:rsidR="00863073" w:rsidRPr="00863073" w:rsidRDefault="00863073" w:rsidP="008630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возможности художе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изображения даров при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роды в искусстве.</w:t>
      </w:r>
    </w:p>
    <w:p w:rsidR="00863073" w:rsidRPr="00863073" w:rsidRDefault="00863073" w:rsidP="008630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отличать натюрморт от других жанров живописи.</w:t>
      </w:r>
    </w:p>
    <w:p w:rsidR="00863073" w:rsidRPr="00863073" w:rsidRDefault="00863073" w:rsidP="008630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выделять из окружающего мира предметы живой и неживой природы.</w:t>
      </w:r>
    </w:p>
    <w:p w:rsidR="00863073" w:rsidRPr="00863073" w:rsidRDefault="00863073" w:rsidP="008630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изображать различн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объёмы, используя приёмы «ри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сования» жестами.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</w:p>
    <w:p w:rsidR="00FA389B" w:rsidRPr="00863073" w:rsidRDefault="00863073" w:rsidP="00FA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</w:t>
      </w:r>
      <w:proofErr w:type="spellStart"/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Карандашкин</w:t>
      </w:r>
      <w:proofErr w:type="spellEnd"/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муляжи овощей, флажки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цве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карточки лото «Овощи и фрукты»</w:t>
      </w:r>
      <w:r w:rsidR="00FA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389B" w:rsidRPr="00FA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</w:t>
      </w:r>
      <w:r w:rsidR="00FA389B"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художника Д. </w:t>
      </w:r>
      <w:proofErr w:type="spellStart"/>
      <w:r w:rsidR="00FA389B"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Клэр</w:t>
      </w:r>
      <w:proofErr w:type="spellEnd"/>
      <w:r w:rsidR="00FA389B"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«Фруктовый натюрморт».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spellStart"/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приглашает нас в зал загадочных предметов.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630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полочке разные предметы: стакан, красивая ручка для письма, ваза</w:t>
      </w:r>
      <w:proofErr w:type="gramEnd"/>
      <w:r w:rsidRPr="008630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причудливой формы, морская раковина, цветы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Pr="008630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горшке. На столе стоит широкая ваза, в ней муляжи фруктов, рядом на тарелке - муляжи овощей, карточ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 лото «Овощи и фрукты», в кор</w:t>
      </w:r>
      <w:r w:rsidRPr="008630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зиночке - цветные флажки. </w:t>
      </w:r>
      <w:proofErr w:type="gramStart"/>
      <w:r w:rsidRPr="008630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небольшой скамейке настоящие овощи, разложенные на подносе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8630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FA389B" w:rsidRPr="00863073" w:rsidRDefault="00863073" w:rsidP="00FA3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863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что нам приготовил </w:t>
      </w:r>
      <w:proofErr w:type="spellStart"/>
      <w:r w:rsidR="00FA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Карандашкин</w:t>
      </w:r>
      <w:proofErr w:type="spellEnd"/>
      <w:r w:rsidR="00FA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ребята, наверное, очень удив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лены, но </w:t>
      </w:r>
      <w:r w:rsidR="00FA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загадочные предметы.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предметы можно разделить на предметы живой и неживой природы. А отличить их очень просто. Если предмет вырос на земле - он живой, относится к предметам живой природы. А если он сделан руками человека - он неживой, относится к предметам неживой природы.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 «Живая и неживая природа»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у детей предста</w:t>
      </w:r>
      <w:r w:rsidR="00FA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о предметах живой и нежи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природы, научить находить эти предметы в жизни.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Подсказка: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живая природа - та, которая живёт, растёт, развивается.</w:t>
      </w:r>
    </w:p>
    <w:p w:rsidR="00863073" w:rsidRPr="00863073" w:rsidRDefault="00FA389B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863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073"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давайте разложим все эти предметы на две группы: в одну – предметы живой природы, в другую – неживой природы.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общения:</w:t>
      </w:r>
    </w:p>
    <w:p w:rsidR="00863073" w:rsidRPr="00863073" w:rsidRDefault="00863073" w:rsidP="00863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то место, где люди сажают и выращивают овощи? (Огород.)</w:t>
      </w:r>
    </w:p>
    <w:p w:rsidR="00863073" w:rsidRPr="00863073" w:rsidRDefault="00863073" w:rsidP="00863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овощи растут в огороде?</w:t>
      </w:r>
    </w:p>
    <w:p w:rsidR="00863073" w:rsidRPr="00863073" w:rsidRDefault="00863073" w:rsidP="00863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размера бывают овощи? Покажи жестами объём овощей, которые уже выросли и их сорвали? (Варианты детей.)</w:t>
      </w:r>
    </w:p>
    <w:p w:rsidR="00863073" w:rsidRPr="00863073" w:rsidRDefault="00FA389B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863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073"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детям поиграть в </w:t>
      </w:r>
      <w:r w:rsidR="00863073" w:rsidRPr="0086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«Назови овощ по цвету».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образное и ассоциативное мышление.</w:t>
      </w:r>
    </w:p>
    <w:p w:rsidR="00863073" w:rsidRPr="00863073" w:rsidRDefault="00FA389B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="00863073"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флажок определённого цвета, а дети должны назвать его цвет и овощ этого цвета.</w:t>
      </w:r>
    </w:p>
    <w:p w:rsidR="00FA389B" w:rsidRPr="00863073" w:rsidRDefault="00FA389B" w:rsidP="00FA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Воспитатель</w:t>
      </w:r>
      <w:r w:rsidRPr="00863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63073"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просил рассказать, что</w:t>
      </w:r>
      <w:r w:rsidRPr="00FA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картины, на которых художники изображают предметы живой природы (цветы, листья, ягоды, фрукты, овощи, рако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вины, продукты моря) или предме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неживой природы (посуду, вазы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корзины, ручки, карандаши, иг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рушки), называются натюрморт.</w:t>
      </w:r>
      <w:proofErr w:type="gramEnd"/>
    </w:p>
    <w:p w:rsidR="00863073" w:rsidRPr="00863073" w:rsidRDefault="00FA389B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послушайте </w:t>
      </w:r>
      <w:r w:rsidR="00863073"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 А. Кушнера «Что я узнал?» (о натюрморте):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видишь на картине Чашку кофе на столе,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морс в большом графине,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розу в хрустале,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бронзовую вазу,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грушу, или торт,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все предметы сразу, - Знай, что это натюрморт.</w:t>
      </w:r>
    </w:p>
    <w:p w:rsidR="00863073" w:rsidRPr="00863073" w:rsidRDefault="00FA389B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863073"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вам</w:t>
      </w:r>
      <w:r w:rsidR="00863073"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натюрморт репродук</w:t>
      </w:r>
      <w:r w:rsidR="00863073"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художника Д. </w:t>
      </w:r>
      <w:proofErr w:type="spellStart"/>
      <w:r w:rsidR="00863073"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Клэр</w:t>
      </w:r>
      <w:proofErr w:type="spellEnd"/>
      <w:r w:rsidR="00863073"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«Фруктовый натюрморт».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общения:</w:t>
      </w:r>
    </w:p>
    <w:p w:rsidR="00863073" w:rsidRPr="00863073" w:rsidRDefault="00863073" w:rsidP="008630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фрукты на картине художника?</w:t>
      </w:r>
    </w:p>
    <w:p w:rsidR="00863073" w:rsidRPr="00863073" w:rsidRDefault="00863073" w:rsidP="008630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видели такие в жизни?</w:t>
      </w:r>
    </w:p>
    <w:p w:rsidR="00863073" w:rsidRPr="00863073" w:rsidRDefault="00863073" w:rsidP="008630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где лежали эти фрукты? (</w:t>
      </w:r>
      <w:r w:rsidR="001D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63073" w:rsidRPr="00863073" w:rsidRDefault="001D5714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863073"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художник, который пишет натюрморт, располагает все предметы на столе, но на некоторых натюрмортах можно эти предметы увидеть изображёнными на земле. Художник любовался этими разноцветными плодами. Все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 такие яркие, красивые, цве</w:t>
      </w:r>
      <w:r w:rsidR="00863073"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обычные и необычные.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Пластический этюд «Фрукты»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статичности изобразительного искусства</w:t>
      </w:r>
      <w:proofErr w:type="gramStart"/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фиксировать жесты и позы,</w:t>
      </w:r>
      <w:r w:rsidR="001D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ассоциативно передающие изобра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предмета.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изобразить фрукты с картины. (Дети изоб</w:t>
      </w:r>
      <w:r w:rsidR="001D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жают фрукты, стараясь пластикой передать их особенность.)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0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Карандашкин</w:t>
      </w:r>
      <w:proofErr w:type="spellEnd"/>
      <w:r w:rsidR="001D5714" w:rsidRPr="001D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предлагает вам составить натюрморт</w:t>
      </w:r>
      <w:r w:rsidR="001D5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1D5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1D5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составляют)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занятия.</w:t>
      </w:r>
    </w:p>
    <w:p w:rsidR="00863073" w:rsidRPr="00863073" w:rsidRDefault="00863073" w:rsidP="0086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Карандашкин</w:t>
      </w:r>
      <w:proofErr w:type="spellEnd"/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 ответить, как называются картины, с которыми познакомились </w:t>
      </w:r>
      <w:r w:rsidR="001D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занятии. (Натюрморты.) Чем отличаются пейзаж и натюрморт? </w:t>
      </w:r>
      <w:proofErr w:type="spellStart"/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Карандашкин</w:t>
      </w:r>
      <w:proofErr w:type="spellEnd"/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 ребят сделать ему подарок на память: в группе нарисовать свой натюрморт, используя предметы живой и неживой природы, которые имеют какое-то отношение к человеку</w:t>
      </w:r>
      <w:proofErr w:type="gramStart"/>
      <w:r w:rsidRPr="0086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D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="001D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1D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подготовленных листах с изображением вазы дети рисуют по своему желанию фрукты, овощи)</w:t>
      </w:r>
    </w:p>
    <w:p w:rsidR="00820375" w:rsidRDefault="00820375" w:rsidP="00863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0AA" w:rsidRPr="00CB26CF" w:rsidRDefault="003740AA" w:rsidP="003740AA">
      <w:pPr>
        <w:pStyle w:val="c15"/>
        <w:spacing w:before="0" w:beforeAutospacing="0" w:after="0" w:afterAutospacing="0" w:line="320" w:lineRule="atLeast"/>
        <w:rPr>
          <w:rFonts w:ascii="Calibri" w:hAnsi="Calibri" w:cs="Calibri"/>
          <w:color w:val="000000"/>
          <w:sz w:val="22"/>
          <w:szCs w:val="22"/>
        </w:rPr>
      </w:pPr>
      <w:r w:rsidRPr="00CB26CF">
        <w:rPr>
          <w:i/>
          <w:sz w:val="28"/>
          <w:szCs w:val="28"/>
        </w:rPr>
        <w:t xml:space="preserve">Занятие </w:t>
      </w:r>
      <w:r>
        <w:rPr>
          <w:i/>
          <w:sz w:val="28"/>
          <w:szCs w:val="28"/>
        </w:rPr>
        <w:t xml:space="preserve">составлено на основе методических рекомендаций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Путешествие в прекрасное.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О.А.Куревина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, Г.Е. Селезнева (Образовательная система "Школа 2100", Образовательная программа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"Д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етский сад 2100")).</w:t>
      </w:r>
    </w:p>
    <w:p w:rsidR="003740AA" w:rsidRPr="00863073" w:rsidRDefault="003740AA" w:rsidP="008630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0AA" w:rsidRPr="00863073" w:rsidSect="00863073">
      <w:pgSz w:w="11909" w:h="16834"/>
      <w:pgMar w:top="567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073"/>
    <w:rsid w:val="001D5714"/>
    <w:rsid w:val="003740AA"/>
    <w:rsid w:val="00820375"/>
    <w:rsid w:val="00863073"/>
    <w:rsid w:val="00A52C87"/>
    <w:rsid w:val="00FA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7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740AA"/>
  </w:style>
  <w:style w:type="character" w:customStyle="1" w:styleId="c5">
    <w:name w:val="c5"/>
    <w:basedOn w:val="a0"/>
    <w:rsid w:val="003740AA"/>
  </w:style>
  <w:style w:type="paragraph" w:customStyle="1" w:styleId="c15">
    <w:name w:val="c15"/>
    <w:basedOn w:val="a"/>
    <w:rsid w:val="0037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40AA"/>
  </w:style>
  <w:style w:type="paragraph" w:customStyle="1" w:styleId="c4">
    <w:name w:val="c4"/>
    <w:basedOn w:val="a"/>
    <w:rsid w:val="0037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74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2016-02-07T09:16:00Z</dcterms:created>
  <dcterms:modified xsi:type="dcterms:W3CDTF">2016-02-07T14:55:00Z</dcterms:modified>
</cp:coreProperties>
</file>