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4" w:rsidRPr="00EE3E99" w:rsidRDefault="00EE3E99">
      <w:pPr>
        <w:rPr>
          <w:sz w:val="32"/>
        </w:rPr>
      </w:pPr>
      <w:r w:rsidRPr="00EE3E99">
        <w:rPr>
          <w:noProof/>
          <w:sz w:val="32"/>
          <w:lang w:eastAsia="ru-RU"/>
        </w:rPr>
        <w:drawing>
          <wp:inline distT="0" distB="0" distL="0" distR="0">
            <wp:extent cx="3810000" cy="449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99" w:rsidRPr="00EE3E99" w:rsidRDefault="00EE3E99" w:rsidP="00EE3E99">
      <w:pPr>
        <w:jc w:val="center"/>
        <w:rPr>
          <w:rFonts w:ascii="Monotype Corsiva" w:hAnsi="Monotype Corsiva"/>
          <w:b/>
          <w:sz w:val="48"/>
          <w:szCs w:val="32"/>
        </w:rPr>
      </w:pPr>
      <w:r w:rsidRPr="00EE3E99">
        <w:rPr>
          <w:rFonts w:ascii="Monotype Corsiva" w:hAnsi="Monotype Corsiva"/>
          <w:b/>
          <w:color w:val="C00000"/>
          <w:sz w:val="48"/>
          <w:szCs w:val="32"/>
        </w:rPr>
        <w:t>Откуда взялось выражение «мальчик для битья»?</w:t>
      </w:r>
    </w:p>
    <w:p w:rsidR="00EE3E99" w:rsidRPr="00EE3E99" w:rsidRDefault="00EE3E99" w:rsidP="00EE3E99">
      <w:pPr>
        <w:jc w:val="center"/>
        <w:rPr>
          <w:rFonts w:ascii="Monotype Corsiva" w:hAnsi="Monotype Corsiva"/>
          <w:b/>
          <w:sz w:val="44"/>
          <w:szCs w:val="32"/>
        </w:rPr>
      </w:pPr>
      <w:r w:rsidRPr="00EE3E99">
        <w:rPr>
          <w:rFonts w:ascii="Monotype Corsiva" w:hAnsi="Monotype Corsiva"/>
          <w:b/>
          <w:sz w:val="44"/>
          <w:szCs w:val="32"/>
        </w:rPr>
        <w:t>Мальчиками для битья в Англии и других европейских странах 15-18 веков называли юношей, которые воспитывались вместе с принцами и получали телесное наказание за провинности принца.</w:t>
      </w:r>
    </w:p>
    <w:p w:rsidR="00EE3E99" w:rsidRPr="00EE3E99" w:rsidRDefault="00EE3E99" w:rsidP="00EE3E99">
      <w:pPr>
        <w:jc w:val="center"/>
        <w:rPr>
          <w:rFonts w:ascii="Monotype Corsiva" w:hAnsi="Monotype Corsiva"/>
          <w:b/>
          <w:sz w:val="44"/>
          <w:szCs w:val="32"/>
        </w:rPr>
      </w:pPr>
      <w:r w:rsidRPr="00EE3E99">
        <w:rPr>
          <w:rFonts w:ascii="Monotype Corsiva" w:hAnsi="Monotype Corsiva"/>
          <w:b/>
          <w:sz w:val="44"/>
          <w:szCs w:val="32"/>
        </w:rPr>
        <w:t>Эффективность такого метода была не хуже непосредственной порки виновника, так как принц не имел возможности играть с другими детьми, кроме приставленного к нему мальчика, с которым у него устанавливалась сильная эмоциональная связь.</w:t>
      </w:r>
    </w:p>
    <w:sectPr w:rsidR="00EE3E99" w:rsidRPr="00EE3E99" w:rsidSect="00EE3E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99"/>
    <w:rsid w:val="00ED5734"/>
    <w:rsid w:val="00E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2012-09-07T11:44:00Z</dcterms:created>
  <dcterms:modified xsi:type="dcterms:W3CDTF">2012-09-07T11:48:00Z</dcterms:modified>
</cp:coreProperties>
</file>