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4" w:rsidRPr="009641C2" w:rsidRDefault="001F62D4" w:rsidP="001F62D4">
      <w:pPr>
        <w:spacing w:after="5" w:line="271" w:lineRule="auto"/>
        <w:ind w:firstLine="567"/>
        <w:jc w:val="center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 w:rsidRPr="009641C2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>Особенности организации развивающей</w:t>
      </w:r>
    </w:p>
    <w:p w:rsidR="001F62D4" w:rsidRPr="009641C2" w:rsidRDefault="001F62D4" w:rsidP="001F62D4">
      <w:pPr>
        <w:spacing w:after="5" w:line="271" w:lineRule="auto"/>
        <w:ind w:firstLine="567"/>
        <w:jc w:val="center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 w:rsidRPr="009641C2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>предметно-пространственной среды</w:t>
      </w:r>
      <w:r w:rsidRPr="009641C2">
        <w:rPr>
          <w:rFonts w:ascii="Arial Unicode MS" w:eastAsia="Arial Unicode MS" w:hAnsi="Arial Unicode MS" w:cs="Arial Unicode MS"/>
          <w:i/>
          <w:color w:val="000000"/>
          <w:sz w:val="28"/>
          <w:lang w:eastAsia="ru-RU"/>
        </w:rPr>
        <w:t xml:space="preserve"> </w:t>
      </w:r>
      <w:r w:rsidRPr="009641C2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>в группах раннего возраста</w:t>
      </w:r>
    </w:p>
    <w:p w:rsidR="001F62D4" w:rsidRPr="009641C2" w:rsidRDefault="001F62D4" w:rsidP="001F62D4">
      <w:pPr>
        <w:spacing w:after="0" w:line="259" w:lineRule="auto"/>
        <w:ind w:firstLine="567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 w:rsidRPr="009641C2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</w:t>
      </w:r>
    </w:p>
    <w:p w:rsidR="00B51887" w:rsidRPr="009641C2" w:rsidRDefault="00B51887" w:rsidP="009641C2">
      <w:pPr>
        <w:spacing w:after="0" w:line="240" w:lineRule="auto"/>
        <w:ind w:right="-282"/>
        <w:contextualSpacing/>
        <w:rPr>
          <w:rFonts w:ascii="Times New Roman" w:eastAsia="Times New Roman" w:hAnsi="Times New Roman"/>
          <w:b/>
          <w:i/>
          <w:sz w:val="27"/>
          <w:szCs w:val="28"/>
          <w:lang w:eastAsia="ru-RU"/>
        </w:rPr>
      </w:pPr>
      <w:r w:rsidRPr="009641C2">
        <w:rPr>
          <w:rFonts w:ascii="Times New Roman" w:eastAsia="Times New Roman" w:hAnsi="Times New Roman"/>
          <w:b/>
          <w:i/>
          <w:sz w:val="27"/>
          <w:szCs w:val="28"/>
          <w:lang w:eastAsia="ru-RU"/>
        </w:rPr>
        <w:t>Особенности организации развивающей предметно-пространственной среды.</w:t>
      </w:r>
    </w:p>
    <w:p w:rsidR="00B51887" w:rsidRPr="00B51887" w:rsidRDefault="00B51887" w:rsidP="00B51887">
      <w:pPr>
        <w:spacing w:after="0" w:line="240" w:lineRule="auto"/>
        <w:ind w:right="-282"/>
        <w:contextualSpacing/>
        <w:rPr>
          <w:rFonts w:ascii="Times New Roman" w:eastAsia="Times New Roman" w:hAnsi="Times New Roman"/>
          <w:b/>
          <w:color w:val="FF0000"/>
          <w:sz w:val="27"/>
          <w:szCs w:val="28"/>
          <w:lang w:eastAsia="ru-RU"/>
        </w:rPr>
      </w:pPr>
    </w:p>
    <w:p w:rsidR="00B51887" w:rsidRPr="00B51887" w:rsidRDefault="00B51887" w:rsidP="00B51887">
      <w:pPr>
        <w:spacing w:after="37" w:line="249" w:lineRule="auto"/>
        <w:ind w:firstLine="918"/>
        <w:jc w:val="both"/>
        <w:rPr>
          <w:rFonts w:ascii="Times New Roman" w:eastAsia="Times New Roman" w:hAnsi="Times New Roman"/>
          <w:sz w:val="28"/>
          <w:lang w:eastAsia="ru-RU"/>
        </w:rPr>
      </w:pPr>
      <w:r w:rsidRPr="00B51887">
        <w:rPr>
          <w:rFonts w:ascii="Times New Roman" w:eastAsia="Times New Roman" w:hAnsi="Times New Roman"/>
          <w:sz w:val="28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 ФГОС ДО (3.3.4.)</w:t>
      </w:r>
    </w:p>
    <w:p w:rsidR="00B51887" w:rsidRPr="00B51887" w:rsidRDefault="00B51887" w:rsidP="00B51887">
      <w:pPr>
        <w:spacing w:after="37" w:line="249" w:lineRule="auto"/>
        <w:ind w:left="208" w:right="367" w:firstLine="710"/>
        <w:jc w:val="both"/>
        <w:rPr>
          <w:rFonts w:ascii="Times New Roman" w:eastAsia="Times New Roman" w:hAnsi="Times New Roman"/>
          <w:color w:val="FF0000"/>
          <w:sz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954"/>
      </w:tblGrid>
      <w:tr w:rsidR="00B51887" w:rsidRPr="00B51887" w:rsidTr="00C92716">
        <w:tc>
          <w:tcPr>
            <w:tcW w:w="3402" w:type="dxa"/>
          </w:tcPr>
          <w:p w:rsidR="00B51887" w:rsidRPr="00B51887" w:rsidRDefault="00B51887" w:rsidP="00B51887">
            <w:pPr>
              <w:tabs>
                <w:tab w:val="left" w:pos="4026"/>
              </w:tabs>
              <w:spacing w:after="0" w:line="240" w:lineRule="auto"/>
              <w:ind w:left="105" w:right="34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</w:rPr>
              <w:t xml:space="preserve">1) </w:t>
            </w: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Насыщенность среды должна соответствовать возрастным возможностям детей и содержанию Программы.</w:t>
            </w:r>
          </w:p>
          <w:p w:rsidR="00B51887" w:rsidRPr="00B51887" w:rsidRDefault="00B51887" w:rsidP="00B51887">
            <w:pPr>
              <w:spacing w:after="37" w:line="249" w:lineRule="auto"/>
              <w:ind w:right="367"/>
              <w:jc w:val="both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5954" w:type="dxa"/>
          </w:tcPr>
          <w:p w:rsidR="00B51887" w:rsidRPr="00B51887" w:rsidRDefault="00B51887" w:rsidP="00B51887">
            <w:pPr>
              <w:spacing w:after="0" w:line="240" w:lineRule="auto"/>
              <w:ind w:left="34" w:right="28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Образовательное пространство группы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 (элементы Су-</w:t>
            </w:r>
            <w:proofErr w:type="spellStart"/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Джок</w:t>
            </w:r>
            <w:proofErr w:type="spellEnd"/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 xml:space="preserve"> терапии), инвентарем (в соответствии со спецификой Программы).</w:t>
            </w:r>
          </w:p>
          <w:p w:rsidR="00B51887" w:rsidRPr="00B51887" w:rsidRDefault="00B51887" w:rsidP="00B51887">
            <w:pPr>
              <w:spacing w:after="0" w:line="240" w:lineRule="auto"/>
              <w:ind w:left="34" w:right="28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Организация образовательного пространства группы и разнообразие материалов, оборудования и инвентаря (в здании и на участке) обеспечивают:</w:t>
            </w:r>
          </w:p>
          <w:p w:rsidR="00B51887" w:rsidRPr="00B51887" w:rsidRDefault="00B51887" w:rsidP="00B51887">
            <w:pPr>
              <w:numPr>
                <w:ilvl w:val="0"/>
                <w:numId w:val="4"/>
              </w:numPr>
              <w:spacing w:after="0" w:line="240" w:lineRule="auto"/>
              <w:ind w:left="459" w:right="28" w:hanging="284"/>
              <w:contextualSpacing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материалами);</w:t>
            </w:r>
          </w:p>
          <w:p w:rsidR="00B51887" w:rsidRPr="00B51887" w:rsidRDefault="00B51887" w:rsidP="00B51887">
            <w:pPr>
              <w:numPr>
                <w:ilvl w:val="0"/>
                <w:numId w:val="4"/>
              </w:numPr>
              <w:spacing w:after="0" w:line="240" w:lineRule="auto"/>
              <w:ind w:left="459" w:right="28" w:hanging="284"/>
              <w:contextualSpacing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B51887" w:rsidRPr="00B51887" w:rsidRDefault="00B51887" w:rsidP="00B51887">
            <w:pPr>
              <w:numPr>
                <w:ilvl w:val="0"/>
                <w:numId w:val="4"/>
              </w:numPr>
              <w:spacing w:after="0" w:line="240" w:lineRule="auto"/>
              <w:ind w:left="459" w:right="28" w:hanging="284"/>
              <w:contextualSpacing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B51887" w:rsidRPr="00B51887" w:rsidRDefault="00B51887" w:rsidP="00B51887">
            <w:pPr>
              <w:numPr>
                <w:ilvl w:val="0"/>
                <w:numId w:val="4"/>
              </w:numPr>
              <w:spacing w:after="0" w:line="240" w:lineRule="auto"/>
              <w:ind w:left="459" w:right="28" w:hanging="284"/>
              <w:contextualSpacing/>
              <w:jc w:val="both"/>
              <w:rPr>
                <w:rFonts w:ascii="Times New Roman" w:eastAsia="Times New Roman" w:hAnsi="Times New Roman"/>
                <w:sz w:val="27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возможность самовыражения детей.</w:t>
            </w:r>
          </w:p>
        </w:tc>
      </w:tr>
      <w:tr w:rsidR="00B51887" w:rsidRPr="00B51887" w:rsidTr="00C92716">
        <w:tc>
          <w:tcPr>
            <w:tcW w:w="3402" w:type="dxa"/>
          </w:tcPr>
          <w:p w:rsidR="00B51887" w:rsidRPr="00B51887" w:rsidRDefault="00B51887" w:rsidP="00B51887">
            <w:pPr>
              <w:spacing w:after="37" w:line="249" w:lineRule="auto"/>
              <w:ind w:right="367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 xml:space="preserve">2) </w:t>
            </w:r>
            <w:proofErr w:type="spellStart"/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Трансформируемость</w:t>
            </w:r>
            <w:proofErr w:type="spellEnd"/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 xml:space="preserve"> пространства</w:t>
            </w:r>
          </w:p>
        </w:tc>
        <w:tc>
          <w:tcPr>
            <w:tcW w:w="5954" w:type="dxa"/>
          </w:tcPr>
          <w:p w:rsidR="00B51887" w:rsidRPr="00B51887" w:rsidRDefault="00B51887" w:rsidP="00B51887">
            <w:pPr>
              <w:spacing w:after="37" w:line="249" w:lineRule="auto"/>
              <w:ind w:right="28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Использование ширм, мягких модулей позволяет</w:t>
            </w:r>
            <w:r w:rsidRPr="00B51887">
              <w:rPr>
                <w:rFonts w:eastAsia="Times New Roman"/>
                <w:sz w:val="27"/>
              </w:rPr>
              <w:t xml:space="preserve"> </w:t>
            </w: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изменить предметно-пространственную среду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B51887" w:rsidRPr="00B51887" w:rsidTr="00C92716">
        <w:tc>
          <w:tcPr>
            <w:tcW w:w="3402" w:type="dxa"/>
          </w:tcPr>
          <w:p w:rsidR="00B51887" w:rsidRPr="00B51887" w:rsidRDefault="00B51887" w:rsidP="00B51887">
            <w:pPr>
              <w:spacing w:after="37" w:line="249" w:lineRule="auto"/>
              <w:ind w:right="367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 xml:space="preserve">3) </w:t>
            </w:r>
            <w:proofErr w:type="spellStart"/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Полифункциональность</w:t>
            </w:r>
            <w:proofErr w:type="spellEnd"/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 xml:space="preserve"> материалов</w:t>
            </w:r>
          </w:p>
        </w:tc>
        <w:tc>
          <w:tcPr>
            <w:tcW w:w="5954" w:type="dxa"/>
          </w:tcPr>
          <w:p w:rsidR="00B51887" w:rsidRPr="00B51887" w:rsidRDefault="00B51887" w:rsidP="00B51887">
            <w:pPr>
              <w:spacing w:after="37" w:line="249" w:lineRule="auto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 xml:space="preserve">Воспитанникам группы </w:t>
            </w:r>
            <w:proofErr w:type="gramStart"/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представляется возможность</w:t>
            </w:r>
            <w:proofErr w:type="gramEnd"/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 xml:space="preserve">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  <w:p w:rsidR="00B51887" w:rsidRPr="00B51887" w:rsidRDefault="00B51887" w:rsidP="00B51887">
            <w:pPr>
              <w:spacing w:after="37" w:line="249" w:lineRule="auto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 xml:space="preserve">Для развития творческих сюжетно-ролевых игр педагогами группы создано большое количество </w:t>
            </w: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lastRenderedPageBreak/>
              <w:t>предметов-заместителей.</w:t>
            </w:r>
          </w:p>
        </w:tc>
      </w:tr>
      <w:tr w:rsidR="00B51887" w:rsidRPr="00B51887" w:rsidTr="00C92716">
        <w:tc>
          <w:tcPr>
            <w:tcW w:w="3402" w:type="dxa"/>
          </w:tcPr>
          <w:p w:rsidR="00B51887" w:rsidRPr="00B51887" w:rsidRDefault="00B51887" w:rsidP="00B51887">
            <w:pPr>
              <w:spacing w:after="37" w:line="249" w:lineRule="auto"/>
              <w:ind w:right="367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lastRenderedPageBreak/>
              <w:t>4) Вариативность среды</w:t>
            </w:r>
          </w:p>
        </w:tc>
        <w:tc>
          <w:tcPr>
            <w:tcW w:w="5954" w:type="dxa"/>
          </w:tcPr>
          <w:p w:rsidR="00B51887" w:rsidRPr="00B51887" w:rsidRDefault="00B51887" w:rsidP="00B51887">
            <w:pPr>
              <w:spacing w:after="37" w:line="249" w:lineRule="auto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В группе имеется большое количество различных центров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B51887" w:rsidRPr="00B51887" w:rsidRDefault="00B51887" w:rsidP="00B51887">
            <w:pPr>
              <w:spacing w:after="37" w:line="249" w:lineRule="auto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Игровой материал сменяется с установленной в группе периодичностью, появление новых предметов, стимулирует игровую, двигательную, познавательную и исследовательскую активность детей.</w:t>
            </w:r>
          </w:p>
        </w:tc>
      </w:tr>
      <w:tr w:rsidR="00B51887" w:rsidRPr="00B51887" w:rsidTr="00C92716">
        <w:tc>
          <w:tcPr>
            <w:tcW w:w="3402" w:type="dxa"/>
          </w:tcPr>
          <w:p w:rsidR="00B51887" w:rsidRPr="00B51887" w:rsidRDefault="00B51887" w:rsidP="00B51887">
            <w:pPr>
              <w:spacing w:after="37" w:line="249" w:lineRule="auto"/>
              <w:ind w:right="367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5) Доступность среды</w:t>
            </w:r>
          </w:p>
        </w:tc>
        <w:tc>
          <w:tcPr>
            <w:tcW w:w="5954" w:type="dxa"/>
          </w:tcPr>
          <w:p w:rsidR="00B51887" w:rsidRPr="00B51887" w:rsidRDefault="00B51887" w:rsidP="00B51887">
            <w:pPr>
              <w:spacing w:after="37" w:line="249" w:lineRule="auto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 xml:space="preserve">Все воспитанники группы имеют свободный доступ ко всем </w:t>
            </w:r>
            <w:proofErr w:type="gramStart"/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центрам</w:t>
            </w:r>
            <w:proofErr w:type="gramEnd"/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 xml:space="preserve"> в которых осуществляется образовательная деятельность; (Игры, игрушки, материалы, пособия, обеспечивающие все основные виды детской активности)</w:t>
            </w:r>
          </w:p>
        </w:tc>
      </w:tr>
      <w:tr w:rsidR="00B51887" w:rsidRPr="00B51887" w:rsidTr="00C92716">
        <w:tc>
          <w:tcPr>
            <w:tcW w:w="3402" w:type="dxa"/>
          </w:tcPr>
          <w:p w:rsidR="00B51887" w:rsidRPr="00B51887" w:rsidRDefault="00B51887" w:rsidP="00B51887">
            <w:pPr>
              <w:spacing w:after="37" w:line="249" w:lineRule="auto"/>
              <w:ind w:right="367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6) Безопасность предметно-пространственной среды</w:t>
            </w:r>
          </w:p>
        </w:tc>
        <w:tc>
          <w:tcPr>
            <w:tcW w:w="5954" w:type="dxa"/>
          </w:tcPr>
          <w:p w:rsidR="00B51887" w:rsidRPr="00B51887" w:rsidRDefault="00B51887" w:rsidP="00B51887">
            <w:pPr>
              <w:spacing w:after="37" w:line="249" w:lineRule="auto"/>
              <w:jc w:val="both"/>
              <w:rPr>
                <w:rFonts w:ascii="Times New Roman" w:eastAsia="Times New Roman" w:hAnsi="Times New Roman"/>
                <w:sz w:val="27"/>
                <w:szCs w:val="24"/>
              </w:rPr>
            </w:pPr>
            <w:r w:rsidRPr="00B51887">
              <w:rPr>
                <w:rFonts w:ascii="Times New Roman" w:eastAsia="Times New Roman" w:hAnsi="Times New Roman"/>
                <w:sz w:val="27"/>
                <w:szCs w:val="24"/>
              </w:rPr>
              <w:t>Все элементы предметно-пространственной среды соответствуют требованиям по обеспечению надежности и безопасности их использования.</w:t>
            </w:r>
          </w:p>
        </w:tc>
      </w:tr>
    </w:tbl>
    <w:p w:rsidR="001F62D4" w:rsidRPr="00DE12A4" w:rsidRDefault="001F62D4" w:rsidP="001F62D4">
      <w:pPr>
        <w:spacing w:after="26" w:line="271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Основные характеристики развивающей предметной среды в группах раннего возраста: </w:t>
      </w:r>
    </w:p>
    <w:p w:rsidR="001F62D4" w:rsidRPr="00DE12A4" w:rsidRDefault="001F62D4" w:rsidP="001F62D4">
      <w:pPr>
        <w:numPr>
          <w:ilvl w:val="0"/>
          <w:numId w:val="1"/>
        </w:numPr>
        <w:spacing w:after="63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разнообразие (наличие всевозможного и максимально вариативного игрового и дидактического материала для развития ребёнка, позволяющего усваивать знания и умения одного плана, но разными способами); </w:t>
      </w:r>
    </w:p>
    <w:p w:rsidR="001F62D4" w:rsidRPr="00DE12A4" w:rsidRDefault="001F62D4" w:rsidP="001F62D4">
      <w:pPr>
        <w:numPr>
          <w:ilvl w:val="0"/>
          <w:numId w:val="1"/>
        </w:numPr>
        <w:spacing w:after="4" w:line="257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доступность (расположение игрового и дидактического материала в </w:t>
      </w:r>
    </w:p>
    <w:p w:rsidR="001F62D4" w:rsidRPr="00DE12A4" w:rsidRDefault="001F62D4" w:rsidP="001F62D4">
      <w:pPr>
        <w:spacing w:after="37" w:line="24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поле зрения и досягаемости ребёнка), а также доступность по показателям возрастного развития; </w:t>
      </w:r>
    </w:p>
    <w:p w:rsidR="001F62D4" w:rsidRPr="00DE12A4" w:rsidRDefault="001F62D4" w:rsidP="001F62D4">
      <w:pPr>
        <w:numPr>
          <w:ilvl w:val="0"/>
          <w:numId w:val="1"/>
        </w:numPr>
        <w:spacing w:after="58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>эмоциогенность</w:t>
      </w:r>
      <w:proofErr w:type="spellEnd"/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(обеспечение индивидуальной комфортности, психологической защищённости и эмоционального благополучия) - среда должна быть яркой, красочной, привлекающей внимание ребёнка и вызывающей у него положительные эмоции; позволить ребёнку проявить свои эмоции; </w:t>
      </w:r>
    </w:p>
    <w:p w:rsidR="001F62D4" w:rsidRPr="00DE12A4" w:rsidRDefault="001F62D4" w:rsidP="001F62D4">
      <w:pPr>
        <w:numPr>
          <w:ilvl w:val="0"/>
          <w:numId w:val="1"/>
        </w:numPr>
        <w:spacing w:after="59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гибкое зонирование пространства по направлениям деятельности (построение не пересекающихся друг с другом развивающих зон, некая параллельность – это связано с особенностями возраста: играем не вместе, а рядом); </w:t>
      </w:r>
    </w:p>
    <w:p w:rsidR="001F62D4" w:rsidRPr="00DE12A4" w:rsidRDefault="001F62D4" w:rsidP="001F62D4">
      <w:pPr>
        <w:numPr>
          <w:ilvl w:val="0"/>
          <w:numId w:val="1"/>
        </w:numPr>
        <w:spacing w:after="37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>взаимодополняемость</w:t>
      </w:r>
      <w:proofErr w:type="spellEnd"/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, взаимозаменяемость предметов из одной зоны в другую; </w:t>
      </w:r>
    </w:p>
    <w:p w:rsidR="001F62D4" w:rsidRPr="00DE12A4" w:rsidRDefault="001F62D4" w:rsidP="001F62D4">
      <w:pPr>
        <w:numPr>
          <w:ilvl w:val="0"/>
          <w:numId w:val="1"/>
        </w:numPr>
        <w:spacing w:after="0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удовлетворение естественной детской активности (ранний возраст – возраст повышенной двигательной активности, исследовательского </w:t>
      </w: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характера). Для удовлетворения возрастной активности ребёнка необходимо, чтобы он, имел возможность преобразовывать окружающую среду, изменять её самыми разнообразными способами </w:t>
      </w:r>
    </w:p>
    <w:p w:rsidR="001F62D4" w:rsidRPr="00DE12A4" w:rsidRDefault="001F62D4" w:rsidP="001F62D4">
      <w:pPr>
        <w:spacing w:after="37" w:line="24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>Важно помнить, что предметно развивающая среда групп раннего возраста рассматривается как комплекс эргономических и психолого</w:t>
      </w:r>
      <w:r w:rsidR="009641C2"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педагогических условий, обеспечивающих организацию жизни детей и взрослых. </w:t>
      </w:r>
    </w:p>
    <w:p w:rsidR="001F62D4" w:rsidRPr="00DE12A4" w:rsidRDefault="001F62D4" w:rsidP="001F62D4">
      <w:pPr>
        <w:spacing w:after="37" w:line="24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>Развивающее пространство для малышей 1,5-3 лет в первую очередь должно быть безопасно. Необходимо обратить внимание на правильное расположение мебели и крупногабаритного оборудования (например, детских горок, больших игровых блоков), обеспечивающее детям и взрослым свободу передвижения по групповой комнате. Все оборудование, перегородки должны быть надежно зафикс</w:t>
      </w:r>
      <w:bookmarkStart w:id="0" w:name="_GoBack"/>
      <w:bookmarkEnd w:id="0"/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ированы, радиаторы закрыты защитными накладками. Мебель без острых углов, изготовленная из натуральных и нетоксичных материалов. </w:t>
      </w:r>
    </w:p>
    <w:p w:rsidR="001F62D4" w:rsidRPr="00DE12A4" w:rsidRDefault="001F62D4" w:rsidP="001F62D4">
      <w:pPr>
        <w:spacing w:after="0" w:line="24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Безопасность предметно-развивающей среды обеспечивается и грамотным расположением игр и игрушек, в первую очередь они должны быть расположены на доступном для детей уровне, чтобы малыши могли легко достать любую интересующую их игрушку, а также самостоятельно убирать ее на место по завершению игры. </w:t>
      </w:r>
    </w:p>
    <w:p w:rsidR="001F62D4" w:rsidRPr="00DE12A4" w:rsidRDefault="001F62D4" w:rsidP="001F62D4">
      <w:pPr>
        <w:spacing w:after="0" w:line="24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Для удобства и рациональности использования группового помещения рекомендуется зонирование его пространства. С этой целью можно использовать перегородки, специальные ячейки, ниши. Главное, чтобы каждая зона хорошо просматривалась из разных уголков группы с целью обеспечения безопасности малышей. Положительный эффект зонирования пространства заключается в возможности ребенка сосредоточится на интересующем его виде деятельности, не отвлекаясь на другие занятия. </w:t>
      </w:r>
    </w:p>
    <w:p w:rsidR="001F62D4" w:rsidRPr="00DE12A4" w:rsidRDefault="001F62D4" w:rsidP="001F62D4">
      <w:pPr>
        <w:spacing w:after="26" w:line="257" w:lineRule="auto"/>
        <w:ind w:firstLine="567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>В помещении группы раннего возрас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 можно создать следующие зоны </w:t>
      </w: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предметно-развивающей среды: </w:t>
      </w:r>
    </w:p>
    <w:p w:rsidR="001F62D4" w:rsidRPr="00DE12A4" w:rsidRDefault="001F62D4" w:rsidP="001F62D4">
      <w:pPr>
        <w:numPr>
          <w:ilvl w:val="0"/>
          <w:numId w:val="2"/>
        </w:numPr>
        <w:spacing w:after="37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Физического развития; </w:t>
      </w:r>
    </w:p>
    <w:p w:rsidR="001F62D4" w:rsidRPr="00DE12A4" w:rsidRDefault="001F62D4" w:rsidP="001F62D4">
      <w:pPr>
        <w:numPr>
          <w:ilvl w:val="0"/>
          <w:numId w:val="2"/>
        </w:numPr>
        <w:spacing w:after="37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Сюжетных игр; </w:t>
      </w:r>
    </w:p>
    <w:p w:rsidR="001F62D4" w:rsidRPr="00DE12A4" w:rsidRDefault="001F62D4" w:rsidP="001F62D4">
      <w:pPr>
        <w:numPr>
          <w:ilvl w:val="0"/>
          <w:numId w:val="2"/>
        </w:numPr>
        <w:spacing w:after="37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Строительных игр; </w:t>
      </w:r>
    </w:p>
    <w:p w:rsidR="001F62D4" w:rsidRPr="00DE12A4" w:rsidRDefault="001F62D4" w:rsidP="001F62D4">
      <w:pPr>
        <w:numPr>
          <w:ilvl w:val="0"/>
          <w:numId w:val="2"/>
        </w:numPr>
        <w:spacing w:after="37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Игр с транспортом; </w:t>
      </w:r>
    </w:p>
    <w:p w:rsidR="001F62D4" w:rsidRPr="00DE12A4" w:rsidRDefault="001F62D4" w:rsidP="001F62D4">
      <w:pPr>
        <w:numPr>
          <w:ilvl w:val="0"/>
          <w:numId w:val="2"/>
        </w:numPr>
        <w:spacing w:after="37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Игр с природным материалом (песком водой); </w:t>
      </w:r>
    </w:p>
    <w:p w:rsidR="001F62D4" w:rsidRPr="00DE12A4" w:rsidRDefault="001F62D4" w:rsidP="001F62D4">
      <w:pPr>
        <w:numPr>
          <w:ilvl w:val="0"/>
          <w:numId w:val="2"/>
        </w:numPr>
        <w:spacing w:after="37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Творчества; </w:t>
      </w:r>
    </w:p>
    <w:p w:rsidR="001F62D4" w:rsidRPr="00DE12A4" w:rsidRDefault="001F62D4" w:rsidP="001F62D4">
      <w:pPr>
        <w:numPr>
          <w:ilvl w:val="0"/>
          <w:numId w:val="2"/>
        </w:numPr>
        <w:spacing w:after="37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Музыкальных занятий; </w:t>
      </w:r>
    </w:p>
    <w:p w:rsidR="001F62D4" w:rsidRDefault="001F62D4" w:rsidP="001F62D4">
      <w:pPr>
        <w:numPr>
          <w:ilvl w:val="0"/>
          <w:numId w:val="2"/>
        </w:numPr>
        <w:spacing w:after="37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Чтения и рассматривания иллюстраций; </w:t>
      </w:r>
    </w:p>
    <w:p w:rsidR="001F62D4" w:rsidRPr="00DE12A4" w:rsidRDefault="001F62D4" w:rsidP="001F62D4">
      <w:pPr>
        <w:numPr>
          <w:ilvl w:val="0"/>
          <w:numId w:val="2"/>
        </w:numPr>
        <w:spacing w:after="37" w:line="249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Релаксации (уголок отдыха и уединения). </w:t>
      </w:r>
    </w:p>
    <w:p w:rsidR="001F62D4" w:rsidRPr="00DE12A4" w:rsidRDefault="001F62D4" w:rsidP="001F62D4">
      <w:pPr>
        <w:spacing w:after="3" w:line="24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Важно продумать разные способы размещения детей во время развивающего взаимодействия воспитанников и педагога. Это могут быть коврики, где можно удобно расположиться педагогу с подгруппой детей и поиграть, рассмотреть иллюстрации. </w:t>
      </w:r>
    </w:p>
    <w:p w:rsidR="001F62D4" w:rsidRPr="00DE12A4" w:rsidRDefault="001F62D4" w:rsidP="001F62D4">
      <w:pPr>
        <w:spacing w:after="10" w:line="24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Не лишним будет и уголок релаксации или уединения, где ребенок может отдохнуть, побыть в одиночестве, особенно после шумных и подвижных игр, чтобы избежать нервного перенапряжения. </w:t>
      </w:r>
    </w:p>
    <w:p w:rsidR="001F62D4" w:rsidRPr="00DE12A4" w:rsidRDefault="001F62D4" w:rsidP="001F62D4">
      <w:pPr>
        <w:spacing w:after="37" w:line="24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 стоит перенасыщать пространство, наоборот мобильные, мягкие и легкие модули позволят менять облик групповой комнаты и создавать возможности для удовлетворения двигательной, сенсомоторной потребности детей в различных видах движений. </w:t>
      </w:r>
    </w:p>
    <w:p w:rsidR="001F62D4" w:rsidRPr="00DE12A4" w:rsidRDefault="001F62D4" w:rsidP="001F62D4">
      <w:pPr>
        <w:spacing w:after="0" w:line="24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 проектировании предметно-развивающего пространства в группах раннего возраста важно помнить о необходимости его динамичности. Выделенные зоны должны иметь возможность объединяться, </w:t>
      </w:r>
      <w:proofErr w:type="spellStart"/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>взаимозаменяться</w:t>
      </w:r>
      <w:proofErr w:type="spellEnd"/>
      <w:r w:rsidRPr="00DE12A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дополняться. Обстановка может модифицироваться в зависимости от изменения потребностей, интересов и возможностей детей. </w:t>
      </w:r>
    </w:p>
    <w:p w:rsidR="001F62D4" w:rsidRDefault="001F62D4" w:rsidP="001F62D4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B51887" w:rsidRPr="00B51887" w:rsidRDefault="00B51887" w:rsidP="00B51887">
      <w:pPr>
        <w:spacing w:after="17" w:line="259" w:lineRule="auto"/>
        <w:ind w:left="164" w:firstLine="68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B5188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Предметно – пространственная среда (в соответствии с ФГОС и программой «Детство»</w:t>
      </w:r>
      <w:proofErr w:type="gramEnd"/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1"/>
        <w:gridCol w:w="2356"/>
        <w:gridCol w:w="6379"/>
      </w:tblGrid>
      <w:tr w:rsidR="00B51887" w:rsidRPr="00B51887" w:rsidTr="00B51887">
        <w:tc>
          <w:tcPr>
            <w:tcW w:w="621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6" w:type="dxa"/>
            <w:vAlign w:val="center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Центр активности</w:t>
            </w:r>
          </w:p>
        </w:tc>
        <w:tc>
          <w:tcPr>
            <w:tcW w:w="6379" w:type="dxa"/>
            <w:vAlign w:val="center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</w:tr>
      <w:tr w:rsidR="00B51887" w:rsidRPr="00B51887" w:rsidTr="00B51887">
        <w:trPr>
          <w:cantSplit/>
          <w:trHeight w:val="1134"/>
        </w:trPr>
        <w:tc>
          <w:tcPr>
            <w:tcW w:w="621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B518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6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«Центр познания»</w:t>
            </w:r>
          </w:p>
        </w:tc>
        <w:tc>
          <w:tcPr>
            <w:tcW w:w="6379" w:type="dxa"/>
          </w:tcPr>
          <w:p w:rsidR="00B51887" w:rsidRPr="00B51887" w:rsidRDefault="00B51887" w:rsidP="00B51887">
            <w:pPr>
              <w:spacing w:after="17" w:line="259" w:lineRule="auto"/>
              <w:ind w:left="93" w:firstLine="7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Вкладыши, пирамидки, шнуровки, пластиковые контейнеры с крышками разных форм и размеров, коробки и др. хозяйственные предметы. Мозаика (крупная пластиковая, магнитная и крупная </w:t>
            </w:r>
            <w:proofErr w:type="spellStart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гвоздиковая</w:t>
            </w:r>
            <w:proofErr w:type="spellEnd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(3-15 частей), наборы кубиков (4-12 штук), развивающие игры «Сложи узор», «Сложи квадрат», игры с элементами моделирования, «мягкие конструкторы» на </w:t>
            </w:r>
            <w:proofErr w:type="spellStart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ковролиновой</w:t>
            </w:r>
            <w:proofErr w:type="spellEnd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основе. Инструментарий для проведения игр – экспериментирований (клеенка, комплекты защитной одежд</w:t>
            </w:r>
            <w:proofErr w:type="gramStart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халатики, нарукавники); коробки – контейнеры (емкости для переливания воды, мелкие резиновые игрушки, игрушки – забавы для игр с водой и песком (плавающие игрушки, водяные мельницы, сита, шарики, поролоновые губки, формочки, ведерки, штампы, воронки, игрушки для закапывания в песок и т.д.)</w:t>
            </w:r>
          </w:p>
        </w:tc>
      </w:tr>
      <w:tr w:rsidR="00B51887" w:rsidRPr="00B51887" w:rsidTr="00B51887">
        <w:tc>
          <w:tcPr>
            <w:tcW w:w="621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6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«Центр творчества»</w:t>
            </w:r>
          </w:p>
        </w:tc>
        <w:tc>
          <w:tcPr>
            <w:tcW w:w="6379" w:type="dxa"/>
          </w:tcPr>
          <w:p w:rsidR="00B51887" w:rsidRPr="00B51887" w:rsidRDefault="00B51887" w:rsidP="00B51887">
            <w:pPr>
              <w:spacing w:after="17" w:line="259" w:lineRule="auto"/>
              <w:ind w:left="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Конструктивные и строительные наборы (напольные, настольные), легкий модульный материал, разнообразные большие коробки (покрашенные, оклеенные, разноцветные); самостирающиеся или восковые доски с палочкой для рисования, рулон белых обоев, восковые мелки и т.д., специальные краски для рисования </w:t>
            </w:r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ладошками. </w:t>
            </w:r>
          </w:p>
        </w:tc>
      </w:tr>
      <w:tr w:rsidR="00B51887" w:rsidRPr="00B51887" w:rsidTr="00B51887">
        <w:tc>
          <w:tcPr>
            <w:tcW w:w="621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56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«Игровой центр»</w:t>
            </w:r>
          </w:p>
        </w:tc>
        <w:tc>
          <w:tcPr>
            <w:tcW w:w="6379" w:type="dxa"/>
          </w:tcPr>
          <w:p w:rsidR="00B51887" w:rsidRPr="00B51887" w:rsidRDefault="00B51887" w:rsidP="00B51887">
            <w:pPr>
              <w:spacing w:after="17" w:line="259" w:lineRule="auto"/>
              <w:ind w:left="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Крупное игровое оборудование, материалы на открытых полка; игрушки, отражающие реальную жизнь, атрибуты к играм, предметы – заместители; фотографии, картинки с изображением людей разного возраста, пола, с разными особенностями внешности, эмоциональным состоянием; много зеркал в разных местах, </w:t>
            </w:r>
            <w:proofErr w:type="gramEnd"/>
          </w:p>
        </w:tc>
      </w:tr>
      <w:tr w:rsidR="00B51887" w:rsidRPr="00B51887" w:rsidTr="00B51887">
        <w:tc>
          <w:tcPr>
            <w:tcW w:w="621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6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«Литературный центр»</w:t>
            </w:r>
          </w:p>
        </w:tc>
        <w:tc>
          <w:tcPr>
            <w:tcW w:w="6379" w:type="dxa"/>
          </w:tcPr>
          <w:p w:rsidR="00B51887" w:rsidRPr="00B51887" w:rsidRDefault="00B51887" w:rsidP="00B51887">
            <w:pPr>
              <w:autoSpaceDE w:val="0"/>
              <w:autoSpaceDN w:val="0"/>
              <w:adjustRightInd w:val="0"/>
              <w:spacing w:after="17" w:line="259" w:lineRule="auto"/>
              <w:ind w:left="9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Книги с яркими картинками, иллюстрациями. </w:t>
            </w:r>
          </w:p>
        </w:tc>
      </w:tr>
      <w:tr w:rsidR="00B51887" w:rsidRPr="00B51887" w:rsidTr="00B51887">
        <w:tc>
          <w:tcPr>
            <w:tcW w:w="621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6" w:type="dxa"/>
          </w:tcPr>
          <w:p w:rsidR="00B51887" w:rsidRPr="00B51887" w:rsidRDefault="00B51887" w:rsidP="00B51887">
            <w:pPr>
              <w:spacing w:after="17" w:line="259" w:lineRule="auto"/>
              <w:ind w:left="519" w:hanging="35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«Спортивный центр»</w:t>
            </w:r>
          </w:p>
        </w:tc>
        <w:tc>
          <w:tcPr>
            <w:tcW w:w="6379" w:type="dxa"/>
          </w:tcPr>
          <w:p w:rsidR="00B51887" w:rsidRPr="00B51887" w:rsidRDefault="00B51887" w:rsidP="00B51887">
            <w:pPr>
              <w:spacing w:after="17" w:line="259" w:lineRule="auto"/>
              <w:ind w:left="9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Оборудование для </w:t>
            </w:r>
            <w:proofErr w:type="spellStart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пролезания</w:t>
            </w:r>
            <w:proofErr w:type="spellEnd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горка со ступеньками и пологим спуском, пластиковые кубы с отверстиями или лабиринты, </w:t>
            </w:r>
            <w:proofErr w:type="spellStart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трапецевидные</w:t>
            </w:r>
            <w:proofErr w:type="spellEnd"/>
            <w:r w:rsidRPr="00B518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столы с круглыми отверстиями в боковинах, большой мат или матрас.</w:t>
            </w:r>
          </w:p>
        </w:tc>
      </w:tr>
    </w:tbl>
    <w:p w:rsidR="00A36252" w:rsidRPr="00B51887" w:rsidRDefault="00A36252" w:rsidP="00B51887">
      <w:pPr>
        <w:spacing w:after="0" w:line="259" w:lineRule="auto"/>
        <w:ind w:left="603" w:right="767" w:hanging="10"/>
        <w:jc w:val="center"/>
      </w:pPr>
    </w:p>
    <w:sectPr w:rsidR="00A36252" w:rsidRPr="00B51887" w:rsidSect="009641C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B03"/>
    <w:multiLevelType w:val="multilevel"/>
    <w:tmpl w:val="29D4FA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21200512"/>
    <w:multiLevelType w:val="hybridMultilevel"/>
    <w:tmpl w:val="74D45E90"/>
    <w:lvl w:ilvl="0" w:tplc="1A4C3AB6">
      <w:start w:val="1"/>
      <w:numFmt w:val="bullet"/>
      <w:lvlText w:val="•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EBF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665A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A745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8C44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E0B6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A89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F4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CCA2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BC1F8A"/>
    <w:multiLevelType w:val="hybridMultilevel"/>
    <w:tmpl w:val="73C487A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97612D6"/>
    <w:multiLevelType w:val="hybridMultilevel"/>
    <w:tmpl w:val="831A0714"/>
    <w:lvl w:ilvl="0" w:tplc="E282575E">
      <w:start w:val="1"/>
      <w:numFmt w:val="bullet"/>
      <w:lvlText w:val="•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E00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ECD9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E20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0BA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C24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0D5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DA76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0D3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B3"/>
    <w:rsid w:val="001F62D4"/>
    <w:rsid w:val="002963C7"/>
    <w:rsid w:val="003323B3"/>
    <w:rsid w:val="007269B3"/>
    <w:rsid w:val="00932AF9"/>
    <w:rsid w:val="009641C2"/>
    <w:rsid w:val="00A36252"/>
    <w:rsid w:val="00B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0B6A-D549-48D5-B98B-B2C4A64B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5</cp:revision>
  <cp:lastPrinted>2015-09-17T08:52:00Z</cp:lastPrinted>
  <dcterms:created xsi:type="dcterms:W3CDTF">2015-09-16T17:39:00Z</dcterms:created>
  <dcterms:modified xsi:type="dcterms:W3CDTF">2016-01-24T14:05:00Z</dcterms:modified>
</cp:coreProperties>
</file>