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A242F3" w:rsidTr="00A242F3">
        <w:trPr>
          <w:trHeight w:val="8444"/>
        </w:trPr>
        <w:tc>
          <w:tcPr>
            <w:tcW w:w="5529" w:type="dxa"/>
            <w:shd w:val="clear" w:color="auto" w:fill="auto"/>
          </w:tcPr>
          <w:p w:rsidR="00A242F3" w:rsidRPr="00A242F3" w:rsidRDefault="00A242F3" w:rsidP="00A242F3">
            <w:pPr>
              <w:tabs>
                <w:tab w:val="left" w:pos="5313"/>
              </w:tabs>
              <w:ind w:left="34" w:right="-108"/>
              <w:rPr>
                <w:rFonts w:ascii="Verdana" w:hAnsi="Verdana"/>
                <w:color w:val="000066"/>
                <w:sz w:val="20"/>
                <w:szCs w:val="20"/>
              </w:rPr>
            </w:pPr>
            <w:r w:rsidRPr="00A242F3">
              <w:rPr>
                <w:rFonts w:ascii="Verdana" w:hAnsi="Verdana"/>
                <w:b/>
                <w:i/>
                <w:color w:val="00B050"/>
                <w:sz w:val="28"/>
                <w:szCs w:val="28"/>
              </w:rPr>
              <w:t>Список произведений классической музыки для регуляции психоэмоционального состояния детей</w:t>
            </w:r>
            <w:r w:rsidRPr="00A242F3">
              <w:rPr>
                <w:rFonts w:ascii="Verdana" w:hAnsi="Verdana"/>
                <w:b/>
                <w:i/>
                <w:color w:val="00B050"/>
                <w:sz w:val="28"/>
                <w:szCs w:val="28"/>
              </w:rPr>
              <w:t>.</w:t>
            </w:r>
            <w:r w:rsidRPr="00A242F3">
              <w:rPr>
                <w:rFonts w:ascii="Verdana" w:hAnsi="Verdana"/>
                <w:color w:val="000066"/>
                <w:sz w:val="18"/>
                <w:szCs w:val="18"/>
              </w:rPr>
              <w:br/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чувства тревоги и неуверенности –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«Мазурка» Шопен, «Вальсы» Штрауса, «Мелодии» Рубинштейна.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раздражительности, разочарования, повышение чувства принадлежности к прекрасному миру природы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«Кантата № 2» Баха, «Лунная соната» Бетховена.</w:t>
            </w:r>
            <w:r w:rsidRPr="00A242F3">
              <w:rPr>
                <w:rStyle w:val="apple-converted-space"/>
                <w:rFonts w:ascii="Verdana" w:hAnsi="Verdana"/>
                <w:color w:val="000066"/>
                <w:sz w:val="20"/>
                <w:szCs w:val="20"/>
              </w:rPr>
              <w:t> 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 xml:space="preserve">Для общего успокоения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  <w:u w:val="single"/>
              </w:rPr>
              <w:t>–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 xml:space="preserve"> «Симфония №6» Бетховена, часть 2, «Колыбельная» Брамса, «Аве Мария» Шуберта.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снятия симптомов гипертонии и напряженности в отношениях с другими людьми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«Концерт ре-минор» для скрипки Баха.</w:t>
            </w:r>
            <w:r w:rsidRPr="00A242F3">
              <w:rPr>
                <w:rStyle w:val="apple-converted-space"/>
                <w:rFonts w:ascii="Verdana" w:hAnsi="Verdana"/>
                <w:color w:val="000066"/>
                <w:sz w:val="20"/>
                <w:szCs w:val="20"/>
              </w:rPr>
              <w:t> 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головной боли, связанной с эмоциональным напряжением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«Дон Жуан» Моцарт, «Венгерская рапсодия №1» Листа, «Сюита Маскарад» Хачатуряна.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proofErr w:type="gramStart"/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поднятия общего жизненного тонуса, улучшение самочувствия, активности, настроения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«Шестая симфония», Чайковского, 3 часть, «Увертюра Эдмонд» Бетховена.</w:t>
            </w:r>
            <w:proofErr w:type="gramEnd"/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злобности, зависти к успехам других людей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«Итальянский концерт» Баха, «Симфония» Гайдна.</w:t>
            </w:r>
            <w:r w:rsidRPr="00A242F3">
              <w:rPr>
                <w:rStyle w:val="apple-converted-space"/>
                <w:rFonts w:ascii="Verdana" w:hAnsi="Verdana"/>
                <w:color w:val="000066"/>
                <w:sz w:val="20"/>
                <w:szCs w:val="20"/>
              </w:rPr>
              <w:t> 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повышения концентрации внимания, сосредоточенности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«Времена года» Чайковского, «Лунный свет» Дебюсси, «Симфония № 5» Мендельсона.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- </w:t>
            </w:r>
            <w:proofErr w:type="gramStart"/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синдрома угнетения, повышения аппетита, ритмичного дыхания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- Моцарт, Шуберт, Гайдн, вальсы из балетов Чайковского, «На тройке» из его же «Времен года», «Весна» из «Времен года» Вивальди, а также маршевые мелодии.</w:t>
            </w:r>
            <w:proofErr w:type="gramEnd"/>
          </w:p>
          <w:p w:rsidR="00A242F3" w:rsidRDefault="00A242F3" w:rsidP="00A242F3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bookmarkStart w:id="0" w:name="_GoBack"/>
            <w:bookmarkEnd w:id="0"/>
          </w:p>
          <w:p w:rsidR="00A242F3" w:rsidRDefault="00A242F3" w:rsidP="00A242F3">
            <w:r w:rsidRPr="00A242F3">
              <w:rPr>
                <w:rStyle w:val="apple-converted-space"/>
                <w:rFonts w:ascii="Verdana" w:hAnsi="Verdana"/>
                <w:color w:val="000066"/>
                <w:sz w:val="18"/>
                <w:szCs w:val="18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59042C21" wp14:editId="101DC68F">
                  <wp:extent cx="3590925" cy="2693194"/>
                  <wp:effectExtent l="0" t="0" r="0" b="0"/>
                  <wp:docPr id="1" name="Рисунок 1" descr="http://www.2099.ru/wp-content/uploads/2013/08/a1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099.ru/wp-content/uploads/2013/08/a1d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396" cy="270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242F3" w:rsidRDefault="00A242F3" w:rsidP="00A242F3">
            <w:pPr>
              <w:tabs>
                <w:tab w:val="left" w:pos="5313"/>
              </w:tabs>
              <w:ind w:left="34" w:right="-108"/>
              <w:rPr>
                <w:rFonts w:ascii="Verdana" w:hAnsi="Verdana"/>
                <w:color w:val="000066"/>
                <w:sz w:val="20"/>
                <w:szCs w:val="20"/>
              </w:rPr>
            </w:pPr>
            <w:r w:rsidRPr="00A242F3">
              <w:rPr>
                <w:rFonts w:ascii="Verdana" w:hAnsi="Verdana"/>
                <w:b/>
                <w:i/>
                <w:color w:val="00B050"/>
                <w:sz w:val="28"/>
                <w:szCs w:val="28"/>
              </w:rPr>
              <w:t>Список произведений классической музыки для регуляции психоэмоционального состояния детей.</w:t>
            </w:r>
            <w:r w:rsidRPr="00A242F3">
              <w:rPr>
                <w:rFonts w:ascii="Verdana" w:hAnsi="Verdana"/>
                <w:color w:val="000066"/>
                <w:sz w:val="18"/>
                <w:szCs w:val="18"/>
              </w:rPr>
              <w:br/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чувства тревоги и неуверенности –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«Мазурка» Шопен, «Вальсы» Штрауса, «Мелодии» Рубинштейна.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раздражительности, разочарования, повышение чувства принадлежности к прекрасному миру природы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«Кантата № 2» Баха, «Лунная соната» Бетховена.</w:t>
            </w:r>
            <w:r w:rsidRPr="00A242F3">
              <w:rPr>
                <w:rStyle w:val="apple-converted-space"/>
                <w:rFonts w:ascii="Verdana" w:hAnsi="Verdana"/>
                <w:color w:val="000066"/>
                <w:sz w:val="20"/>
                <w:szCs w:val="20"/>
              </w:rPr>
              <w:t> 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 xml:space="preserve">Для общего успокоения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  <w:u w:val="single"/>
              </w:rPr>
              <w:t>–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 xml:space="preserve"> «Симфония №6» Бетховена, часть 2, «Колыбельная» Брамса, «Аве Мария» Шуберта.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снятия симптомов гипертонии и напряженности в отношениях с другими людьми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«Концерт ре-минор» для скрипки Баха.</w:t>
            </w:r>
            <w:r w:rsidRPr="00A242F3">
              <w:rPr>
                <w:rStyle w:val="apple-converted-space"/>
                <w:rFonts w:ascii="Verdana" w:hAnsi="Verdana"/>
                <w:color w:val="000066"/>
                <w:sz w:val="20"/>
                <w:szCs w:val="20"/>
              </w:rPr>
              <w:t> 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головной боли, связанной с эмоциональным напряжением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«Дон Жуан» Моцарт, «Венгерская рапсодия №1» Листа, «Сюита Маскарад» Хачатуряна.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proofErr w:type="gramStart"/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поднятия общего жизненного тонуса, улучшение самочувствия, активности, настроения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«Шестая симфония», Чайковского, 3 часть, «Увертюра Эдмонд» Бетховена.</w:t>
            </w:r>
            <w:proofErr w:type="gramEnd"/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злобности, зависти к успехам других людей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«Итальянский концерт» Баха, «Симфония» Гайдна.</w:t>
            </w:r>
            <w:r w:rsidRPr="00A242F3">
              <w:rPr>
                <w:rStyle w:val="apple-converted-space"/>
                <w:rFonts w:ascii="Verdana" w:hAnsi="Verdana"/>
                <w:color w:val="000066"/>
                <w:sz w:val="20"/>
                <w:szCs w:val="20"/>
              </w:rPr>
              <w:t> 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– </w:t>
            </w:r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повышения концентрации внимания, сосредоточенности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– «Времена года» Чайковского, «Лунный свет» Дебюсси, «Симфония № 5» Мендельсона.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br/>
              <w:t xml:space="preserve">- </w:t>
            </w:r>
            <w:proofErr w:type="gramStart"/>
            <w:r w:rsidRPr="00A242F3">
              <w:rPr>
                <w:rFonts w:ascii="Verdana" w:hAnsi="Verdana"/>
                <w:color w:val="92D050"/>
                <w:sz w:val="20"/>
                <w:szCs w:val="20"/>
                <w:u w:val="single"/>
              </w:rPr>
              <w:t>Для уменьшения синдрома угнетения, повышения аппетита, ритмичного дыхания</w:t>
            </w:r>
            <w:r w:rsidRPr="00A242F3">
              <w:rPr>
                <w:rFonts w:ascii="Verdana" w:hAnsi="Verdana"/>
                <w:color w:val="92D050"/>
                <w:sz w:val="20"/>
                <w:szCs w:val="20"/>
              </w:rPr>
              <w:t xml:space="preserve"> </w:t>
            </w:r>
            <w:r w:rsidRPr="00A242F3">
              <w:rPr>
                <w:rFonts w:ascii="Verdana" w:hAnsi="Verdana"/>
                <w:color w:val="000066"/>
                <w:sz w:val="20"/>
                <w:szCs w:val="20"/>
              </w:rPr>
              <w:t>- Моцарт, Шуберт, Гайдн, вальсы из балетов Чайковского, «На тройке» из его же «Времен года», «Весна» из «Времен года» Вивальди, а также маршевые мелодии.</w:t>
            </w:r>
            <w:proofErr w:type="gramEnd"/>
          </w:p>
          <w:p w:rsidR="00A242F3" w:rsidRPr="00A242F3" w:rsidRDefault="00A242F3" w:rsidP="00A242F3">
            <w:pPr>
              <w:tabs>
                <w:tab w:val="left" w:pos="5313"/>
              </w:tabs>
              <w:ind w:left="34" w:right="-108"/>
              <w:rPr>
                <w:rFonts w:ascii="Verdana" w:hAnsi="Verdana"/>
                <w:color w:val="000066"/>
                <w:sz w:val="20"/>
                <w:szCs w:val="20"/>
              </w:rPr>
            </w:pPr>
          </w:p>
          <w:p w:rsidR="00A242F3" w:rsidRDefault="00A242F3" w:rsidP="00A242F3">
            <w:pPr>
              <w:ind w:left="-250" w:right="-108"/>
            </w:pPr>
            <w:r>
              <w:rPr>
                <w:noProof/>
                <w:lang w:eastAsia="ru-RU"/>
              </w:rPr>
              <w:drawing>
                <wp:inline distT="0" distB="0" distL="0" distR="0" wp14:anchorId="54FF93AF" wp14:editId="6BD18A99">
                  <wp:extent cx="3590925" cy="2693194"/>
                  <wp:effectExtent l="0" t="0" r="0" b="0"/>
                  <wp:docPr id="2" name="Рисунок 2" descr="http://www.2099.ru/wp-content/uploads/2013/08/a1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099.ru/wp-content/uploads/2013/08/a1d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396" cy="270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7D0" w:rsidRDefault="00B927D0"/>
    <w:sectPr w:rsidR="00B927D0" w:rsidSect="00A242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3"/>
    <w:rsid w:val="00A242F3"/>
    <w:rsid w:val="00B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2F3"/>
  </w:style>
  <w:style w:type="table" w:styleId="a3">
    <w:name w:val="Table Grid"/>
    <w:basedOn w:val="a1"/>
    <w:uiPriority w:val="59"/>
    <w:rsid w:val="00A2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2F3"/>
  </w:style>
  <w:style w:type="table" w:styleId="a3">
    <w:name w:val="Table Grid"/>
    <w:basedOn w:val="a1"/>
    <w:uiPriority w:val="59"/>
    <w:rsid w:val="00A2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2015-11-23T14:21:00Z</dcterms:created>
  <dcterms:modified xsi:type="dcterms:W3CDTF">2015-11-23T14:31:00Z</dcterms:modified>
</cp:coreProperties>
</file>