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FC" w:rsidRPr="00884EBC" w:rsidRDefault="00231CFC" w:rsidP="00231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EBC">
        <w:rPr>
          <w:rFonts w:ascii="Times New Roman" w:hAnsi="Times New Roman" w:cs="Times New Roman"/>
          <w:b/>
          <w:sz w:val="32"/>
          <w:szCs w:val="32"/>
        </w:rPr>
        <w:t>Подвижные игры для детей с нарушением зрения.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5DA5">
        <w:rPr>
          <w:rFonts w:ascii="Times New Roman" w:hAnsi="Times New Roman" w:cs="Times New Roman"/>
          <w:sz w:val="24"/>
          <w:szCs w:val="24"/>
        </w:rPr>
        <w:t>Подвижные игры для детей с нарушением зрения имеют огромное значение не только как средство развития сохранных функций, навыков ориентировки в пространстве, совершенствования движений, умения бегать, прыгать, метать и т.д.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5DA5">
        <w:rPr>
          <w:rFonts w:ascii="Times New Roman" w:hAnsi="Times New Roman" w:cs="Times New Roman"/>
          <w:sz w:val="24"/>
          <w:szCs w:val="24"/>
        </w:rPr>
        <w:t>В процессе игры ребенок учится добиваться успеха, подчинять свои желания правилам игры. Эффективное решение задач игры способствует преодолению дефектов зрения, его компенсации. Специальных подвижных игр для детей с нарушением зрения нет, они играют в те же игры, что и нормально видящие дошкольники.</w:t>
      </w:r>
    </w:p>
    <w:p w:rsidR="00231CFC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C5DA5">
        <w:rPr>
          <w:rFonts w:ascii="Times New Roman" w:hAnsi="Times New Roman" w:cs="Times New Roman"/>
          <w:sz w:val="24"/>
          <w:szCs w:val="24"/>
        </w:rPr>
        <w:t>При выборе игр следует учитывать возрастные особенности детей,</w:t>
      </w:r>
      <w:r w:rsidRPr="00481E51">
        <w:rPr>
          <w:rFonts w:ascii="Times New Roman" w:hAnsi="Times New Roman" w:cs="Times New Roman"/>
          <w:sz w:val="24"/>
          <w:szCs w:val="24"/>
        </w:rPr>
        <w:t xml:space="preserve"> </w:t>
      </w:r>
      <w:r w:rsidRPr="008C5DA5">
        <w:rPr>
          <w:rFonts w:ascii="Times New Roman" w:hAnsi="Times New Roman" w:cs="Times New Roman"/>
          <w:sz w:val="24"/>
          <w:szCs w:val="24"/>
        </w:rPr>
        <w:t>зрительные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C5DA5">
        <w:rPr>
          <w:rFonts w:ascii="Times New Roman" w:hAnsi="Times New Roman" w:cs="Times New Roman"/>
          <w:sz w:val="24"/>
          <w:szCs w:val="24"/>
        </w:rPr>
        <w:t xml:space="preserve"> физическую подготовленность.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DA5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подвижные </w:t>
      </w:r>
      <w:r w:rsidRPr="008C5DA5">
        <w:rPr>
          <w:rFonts w:ascii="Times New Roman" w:hAnsi="Times New Roman" w:cs="Times New Roman"/>
          <w:sz w:val="24"/>
          <w:szCs w:val="24"/>
        </w:rPr>
        <w:t>игры предусматривают воспитание таких качеств личности ребенка с нарушением зрения, как смелость, активность, настойчивость, общительность, социальная адаптация.</w:t>
      </w:r>
    </w:p>
    <w:p w:rsidR="00231CFC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DA5">
        <w:rPr>
          <w:rFonts w:ascii="Times New Roman" w:hAnsi="Times New Roman" w:cs="Times New Roman"/>
          <w:sz w:val="24"/>
          <w:szCs w:val="24"/>
        </w:rPr>
        <w:t>Особое внимание следует обращать на детей, имеющих вторичные нарушения (нарушения опорно-двигательного аппарата), осторожно привлекать их к таким играм, где требуются психофизические нагрузки, быстрая смена положения тела в пространстве и сложная двигательная координация.</w:t>
      </w:r>
      <w:r>
        <w:rPr>
          <w:rFonts w:ascii="Times New Roman" w:hAnsi="Times New Roman" w:cs="Times New Roman"/>
          <w:sz w:val="24"/>
          <w:szCs w:val="24"/>
        </w:rPr>
        <w:t xml:space="preserve"> В таких</w:t>
      </w:r>
      <w:r w:rsidRPr="008C5DA5">
        <w:rPr>
          <w:rFonts w:ascii="Times New Roman" w:hAnsi="Times New Roman" w:cs="Times New Roman"/>
          <w:sz w:val="24"/>
          <w:szCs w:val="24"/>
        </w:rPr>
        <w:t xml:space="preserve"> случаях нагрузка </w:t>
      </w:r>
      <w:r>
        <w:rPr>
          <w:rFonts w:ascii="Times New Roman" w:hAnsi="Times New Roman" w:cs="Times New Roman"/>
          <w:sz w:val="24"/>
          <w:szCs w:val="24"/>
        </w:rPr>
        <w:t xml:space="preserve"> для ребенка </w:t>
      </w:r>
      <w:r w:rsidRPr="008C5DA5">
        <w:rPr>
          <w:rFonts w:ascii="Times New Roman" w:hAnsi="Times New Roman" w:cs="Times New Roman"/>
          <w:sz w:val="24"/>
          <w:szCs w:val="24"/>
        </w:rPr>
        <w:t xml:space="preserve">дозируется индивидуально. 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Если ребенок не принимает участие в игре</w:t>
      </w:r>
      <w:r w:rsidRPr="008C5D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педагог может привлечь </w:t>
      </w:r>
      <w:r w:rsidRPr="008C5DA5">
        <w:rPr>
          <w:rFonts w:ascii="Times New Roman" w:hAnsi="Times New Roman" w:cs="Times New Roman"/>
          <w:sz w:val="24"/>
          <w:szCs w:val="24"/>
        </w:rPr>
        <w:t xml:space="preserve"> его к судейству, к оказанию помощи, предлагая расставить инвентарь, собрать его, вести подсчет очков, следить за выполнением правил </w:t>
      </w:r>
      <w:proofErr w:type="gramStart"/>
      <w:r w:rsidRPr="008C5DA5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8C5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DA5">
        <w:rPr>
          <w:rFonts w:ascii="Times New Roman" w:hAnsi="Times New Roman" w:cs="Times New Roman"/>
          <w:sz w:val="24"/>
          <w:szCs w:val="24"/>
        </w:rPr>
        <w:t xml:space="preserve">Учитывая трудности зрительного восприятия и нарушения движений у детей, игра должна быть хорошо организована и разъяснена. В момент объяснения игры детям лучше находиться в том положении, из которого игра начинается.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8C5DA5">
        <w:rPr>
          <w:rFonts w:ascii="Times New Roman" w:hAnsi="Times New Roman" w:cs="Times New Roman"/>
          <w:sz w:val="24"/>
          <w:szCs w:val="24"/>
        </w:rPr>
        <w:t>стоит так, чтобы его хорошо видели и слышали дети.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DA5">
        <w:rPr>
          <w:rFonts w:ascii="Times New Roman" w:hAnsi="Times New Roman" w:cs="Times New Roman"/>
          <w:sz w:val="24"/>
          <w:szCs w:val="24"/>
        </w:rPr>
        <w:t xml:space="preserve">При организации подвижной игры нельзя </w:t>
      </w:r>
      <w:r>
        <w:rPr>
          <w:rFonts w:ascii="Times New Roman" w:hAnsi="Times New Roman" w:cs="Times New Roman"/>
          <w:sz w:val="24"/>
          <w:szCs w:val="24"/>
        </w:rPr>
        <w:t xml:space="preserve">делать расстановку </w:t>
      </w:r>
      <w:r w:rsidRPr="008C5DA5">
        <w:rPr>
          <w:rFonts w:ascii="Times New Roman" w:hAnsi="Times New Roman" w:cs="Times New Roman"/>
          <w:sz w:val="24"/>
          <w:szCs w:val="24"/>
        </w:rPr>
        <w:t>детей лицом к солнцу или к окнам. Яркий свет «слепит» детей,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8C5DA5">
        <w:rPr>
          <w:rFonts w:ascii="Times New Roman" w:hAnsi="Times New Roman" w:cs="Times New Roman"/>
          <w:sz w:val="24"/>
          <w:szCs w:val="24"/>
        </w:rPr>
        <w:t>внимание рассеивается. Начинать игру необходимо по условному сигналу (свистку, хлопку, команде, удару в бубен и др.), о чем дети предупреждаются заранее. Во время игры воспитатель  вниматель</w:t>
      </w:r>
      <w:r>
        <w:rPr>
          <w:rFonts w:ascii="Times New Roman" w:hAnsi="Times New Roman" w:cs="Times New Roman"/>
          <w:sz w:val="24"/>
          <w:szCs w:val="24"/>
        </w:rPr>
        <w:t>но следит за поведение играющих и</w:t>
      </w:r>
      <w:r w:rsidRPr="008C5DA5">
        <w:rPr>
          <w:rFonts w:ascii="Times New Roman" w:hAnsi="Times New Roman" w:cs="Times New Roman"/>
          <w:sz w:val="24"/>
          <w:szCs w:val="24"/>
        </w:rPr>
        <w:t xml:space="preserve"> соблюдением правил игры.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DA5">
        <w:rPr>
          <w:rFonts w:ascii="Times New Roman" w:hAnsi="Times New Roman" w:cs="Times New Roman"/>
          <w:sz w:val="24"/>
          <w:szCs w:val="24"/>
        </w:rPr>
        <w:t xml:space="preserve">В играх детей с </w:t>
      </w:r>
      <w:proofErr w:type="spellStart"/>
      <w:r w:rsidRPr="008C5DA5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8C5DA5">
        <w:rPr>
          <w:rFonts w:ascii="Times New Roman" w:hAnsi="Times New Roman" w:cs="Times New Roman"/>
          <w:sz w:val="24"/>
          <w:szCs w:val="24"/>
        </w:rPr>
        <w:t xml:space="preserve"> и косоглазием широко исполь</w:t>
      </w:r>
      <w:r>
        <w:rPr>
          <w:rFonts w:ascii="Times New Roman" w:hAnsi="Times New Roman" w:cs="Times New Roman"/>
          <w:sz w:val="24"/>
          <w:szCs w:val="24"/>
        </w:rPr>
        <w:t>зуется специальное оборудование</w:t>
      </w:r>
      <w:r w:rsidRPr="008C5DA5">
        <w:rPr>
          <w:rFonts w:ascii="Times New Roman" w:hAnsi="Times New Roman" w:cs="Times New Roman"/>
          <w:sz w:val="24"/>
          <w:szCs w:val="24"/>
        </w:rPr>
        <w:t>: мячи</w:t>
      </w:r>
      <w:r>
        <w:rPr>
          <w:rFonts w:ascii="Times New Roman" w:hAnsi="Times New Roman" w:cs="Times New Roman"/>
          <w:sz w:val="24"/>
          <w:szCs w:val="24"/>
        </w:rPr>
        <w:t xml:space="preserve">, окрашенные в один из цветов: </w:t>
      </w:r>
      <w:r w:rsidRPr="008C5DA5">
        <w:rPr>
          <w:rFonts w:ascii="Times New Roman" w:hAnsi="Times New Roman" w:cs="Times New Roman"/>
          <w:sz w:val="24"/>
          <w:szCs w:val="24"/>
        </w:rPr>
        <w:t>оранжевый, красный, желтый, зеленый, наиболее благоприятно воздействующих на сетчатку глаза; индивидуальные зрительные ориентиры в виде цветных геометрических фигур, размер которых подбирается с учетом зрительных возможностей детей.</w:t>
      </w:r>
    </w:p>
    <w:p w:rsidR="00231CFC" w:rsidRPr="008C5DA5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5DA5">
        <w:rPr>
          <w:rFonts w:ascii="Times New Roman" w:hAnsi="Times New Roman" w:cs="Times New Roman"/>
          <w:sz w:val="24"/>
          <w:szCs w:val="24"/>
        </w:rPr>
        <w:t xml:space="preserve">В подвижных играх </w:t>
      </w:r>
      <w:r>
        <w:rPr>
          <w:rFonts w:ascii="Times New Roman" w:hAnsi="Times New Roman" w:cs="Times New Roman"/>
          <w:sz w:val="24"/>
          <w:szCs w:val="24"/>
        </w:rPr>
        <w:t xml:space="preserve">у детей с нарушением зрения </w:t>
      </w:r>
      <w:r w:rsidRPr="008C5DA5">
        <w:rPr>
          <w:rFonts w:ascii="Times New Roman" w:hAnsi="Times New Roman" w:cs="Times New Roman"/>
          <w:sz w:val="24"/>
          <w:szCs w:val="24"/>
        </w:rPr>
        <w:t>не допускается встречный бег, резкие остановки во время бега, не разрешается держаться за руки во время движения.</w:t>
      </w:r>
    </w:p>
    <w:p w:rsidR="00231CFC" w:rsidRDefault="00231CFC" w:rsidP="0023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5DA5">
        <w:rPr>
          <w:rFonts w:ascii="Times New Roman" w:hAnsi="Times New Roman" w:cs="Times New Roman"/>
          <w:sz w:val="24"/>
          <w:szCs w:val="24"/>
        </w:rPr>
        <w:t xml:space="preserve">Для детей со сходящимся косоглазием используются игры, требующие направления взгляда вверх, вдаль; с расходящимся косоглазием – игры с направлением взгляда вниз и </w:t>
      </w:r>
      <w:proofErr w:type="spellStart"/>
      <w:r w:rsidRPr="008C5DA5">
        <w:rPr>
          <w:rFonts w:ascii="Times New Roman" w:hAnsi="Times New Roman" w:cs="Times New Roman"/>
          <w:sz w:val="24"/>
          <w:szCs w:val="24"/>
        </w:rPr>
        <w:t>вблизь</w:t>
      </w:r>
      <w:proofErr w:type="spellEnd"/>
      <w:r w:rsidRPr="008C5DA5">
        <w:rPr>
          <w:rFonts w:ascii="Times New Roman" w:hAnsi="Times New Roman" w:cs="Times New Roman"/>
          <w:sz w:val="24"/>
          <w:szCs w:val="24"/>
        </w:rPr>
        <w:t>.</w:t>
      </w:r>
    </w:p>
    <w:p w:rsidR="00EA64D4" w:rsidRDefault="00EA64D4"/>
    <w:p w:rsidR="00231CFC" w:rsidRDefault="00231CFC" w:rsidP="00231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FC" w:rsidRPr="00884EBC" w:rsidRDefault="00231CFC" w:rsidP="00231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BC">
        <w:rPr>
          <w:rFonts w:ascii="Times New Roman" w:hAnsi="Times New Roman" w:cs="Times New Roman"/>
          <w:b/>
          <w:sz w:val="28"/>
          <w:szCs w:val="28"/>
        </w:rPr>
        <w:lastRenderedPageBreak/>
        <w:t>Игры с мячом для детей при расходящемся косоглазии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Прокатывание мяча в ворота.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Прокатывание мяча вокруг кеглей.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Прокатывание мяча вокруг кубов.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Перекатывание мяча друг другу, закрепляя направление (вправо, влево, прямо).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«Скати мяч с возвышенности» (наклонная доска, горка).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«Забрось мяч в ведерко, лунку» (перпендикулярно).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Отбивание мяча об пол (стоя, ходить по комнате, прыгая) со стихами.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«Прокати мяч назад» (индивидуально и коллективно).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«Забрось мяч в корзину с расстояния».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«Оттолкни мяч от себя».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«Прокати мяч вокруг себя» (не сдвигаясь с места).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«Подкати мяч ногами» (сидя на полу).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«Бодай мяч» (ходьба на четвереньках).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Футбол.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«Проведи мяч ногой» (дается определенное расстояние).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«Докати мяч до флажка».</w:t>
      </w:r>
    </w:p>
    <w:p w:rsidR="00231CFC" w:rsidRPr="008C5DA5" w:rsidRDefault="00231CFC" w:rsidP="00231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sz w:val="24"/>
          <w:szCs w:val="24"/>
        </w:rPr>
        <w:t>«Сбей кеглю (прокатывая)».</w:t>
      </w:r>
    </w:p>
    <w:p w:rsidR="00231CFC" w:rsidRDefault="00231CFC" w:rsidP="00231CFC">
      <w:pPr>
        <w:pStyle w:val="a3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31CFC" w:rsidRPr="00884EBC" w:rsidRDefault="00231CFC" w:rsidP="00231CFC">
      <w:pPr>
        <w:pStyle w:val="a3"/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884EBC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Игры с мячом для детей при сходящемся косоглазии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Бросание и ловля мяча (друг другу).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Подбрасывание мяча вверх и ловля самостоятельно (с хлопками).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Бросание о стену и ловля отскочившего мяча.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Передача мяча над головой (в колонне, идя, стоя).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Забрасывание мяча в кольцо.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Игра с мячом через сетку.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Бросание и ловля мяча через веревку, натянутую выше роста ребенка.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«Закати мяч на горку» (доску или любой возвышенный предмет).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«Попади мячом в цель (подвижную и неподвижную).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Сбей кеглю или другую игрушку» (бросая).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«Чей мяч выше подлетит?»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«Поймай шарик» (на удочку).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«Кто первый принесет мяч?» (бросать можно и вверх и вдаль).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«Кто дальше бросит мяч?»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Бросание мяча через обруч.</w:t>
      </w:r>
    </w:p>
    <w:p w:rsidR="00231CFC" w:rsidRPr="008C5DA5" w:rsidRDefault="00231CFC" w:rsidP="00231CFC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C5DA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Бадминтон.</w:t>
      </w:r>
    </w:p>
    <w:p w:rsidR="00231CFC" w:rsidRDefault="00231CFC" w:rsidP="00231CFC">
      <w:pPr>
        <w:pStyle w:val="a3"/>
        <w:ind w:left="567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</w:t>
      </w:r>
    </w:p>
    <w:p w:rsidR="00231CFC" w:rsidRDefault="00231CFC" w:rsidP="00231CFC">
      <w:pPr>
        <w:pStyle w:val="a3"/>
        <w:ind w:left="567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31CFC" w:rsidRDefault="00231CFC" w:rsidP="00231CFC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</w:p>
    <w:p w:rsidR="00231CFC" w:rsidRPr="00884EBC" w:rsidRDefault="00231CFC" w:rsidP="00231CFC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Используемая литература:</w:t>
      </w:r>
    </w:p>
    <w:p w:rsidR="00231CFC" w:rsidRDefault="00231CFC" w:rsidP="00231CFC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Л.С.Сековец</w:t>
      </w:r>
      <w:proofErr w:type="spellEnd"/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«Коррекционно-педагогическая работа по физическому воспитанию </w:t>
      </w:r>
    </w:p>
    <w:p w:rsidR="00231CFC" w:rsidRPr="00884EBC" w:rsidRDefault="00231CFC" w:rsidP="00231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884EB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детей с нарушением зрения» Москва. Школьная Пресса. 2008</w:t>
      </w:r>
    </w:p>
    <w:p w:rsidR="00231CFC" w:rsidRDefault="00231CFC" w:rsidP="00231CFC">
      <w:bookmarkStart w:id="0" w:name="_GoBack"/>
      <w:bookmarkEnd w:id="0"/>
    </w:p>
    <w:sectPr w:rsidR="0023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476"/>
    <w:multiLevelType w:val="hybridMultilevel"/>
    <w:tmpl w:val="3D3817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A3681"/>
    <w:multiLevelType w:val="hybridMultilevel"/>
    <w:tmpl w:val="40FC4F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FC"/>
    <w:rsid w:val="00231CFC"/>
    <w:rsid w:val="00E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</dc:creator>
  <cp:lastModifiedBy>АХР</cp:lastModifiedBy>
  <cp:revision>1</cp:revision>
  <dcterms:created xsi:type="dcterms:W3CDTF">2016-01-22T10:35:00Z</dcterms:created>
  <dcterms:modified xsi:type="dcterms:W3CDTF">2016-01-22T10:37:00Z</dcterms:modified>
</cp:coreProperties>
</file>