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D4" w:rsidRPr="005C58FE" w:rsidRDefault="008D21D4" w:rsidP="00AA1592">
      <w:pPr>
        <w:pStyle w:val="BodyTextIndent"/>
        <w:ind w:left="0"/>
        <w:rPr>
          <w:color w:val="1D1B11"/>
          <w:sz w:val="28"/>
          <w:szCs w:val="28"/>
        </w:rPr>
      </w:pPr>
      <w:r w:rsidRPr="005C58FE">
        <w:rPr>
          <w:color w:val="1D1B11"/>
          <w:sz w:val="28"/>
          <w:szCs w:val="28"/>
        </w:rPr>
        <w:t>МИНИСТЕРСТВО ОБРАЗОВАНИЯ И НАУКИ,    МОЛОДЕЖИ И СПОРТА</w:t>
      </w:r>
    </w:p>
    <w:p w:rsidR="008D21D4" w:rsidRPr="005C58FE" w:rsidRDefault="008D21D4" w:rsidP="00AA1592">
      <w:pPr>
        <w:pStyle w:val="BodyTextIndent"/>
        <w:ind w:left="0"/>
        <w:jc w:val="center"/>
        <w:rPr>
          <w:color w:val="1D1B11"/>
          <w:sz w:val="28"/>
          <w:szCs w:val="28"/>
        </w:rPr>
      </w:pPr>
      <w:r w:rsidRPr="005C58FE">
        <w:rPr>
          <w:color w:val="1D1B11"/>
          <w:sz w:val="28"/>
          <w:szCs w:val="28"/>
        </w:rPr>
        <w:t>РЕСПУБЛИКИ КРЫМ</w:t>
      </w:r>
    </w:p>
    <w:p w:rsidR="008D21D4" w:rsidRPr="005C58FE" w:rsidRDefault="008D21D4" w:rsidP="00AA1592">
      <w:pPr>
        <w:pStyle w:val="BodyTextIndent"/>
        <w:ind w:left="0"/>
        <w:jc w:val="center"/>
        <w:rPr>
          <w:color w:val="1D1B11"/>
          <w:sz w:val="28"/>
          <w:szCs w:val="28"/>
        </w:rPr>
      </w:pPr>
      <w:r w:rsidRPr="005C58FE">
        <w:rPr>
          <w:color w:val="1D1B11"/>
          <w:sz w:val="28"/>
          <w:szCs w:val="28"/>
        </w:rPr>
        <w:t>КРЫМСКИЙ РЕСПУБЛИКАНСКИЙ ИНСТИТУТ     ПОСЛЕДИПЛОМНОГО</w:t>
      </w:r>
    </w:p>
    <w:p w:rsidR="008D21D4" w:rsidRPr="00AA1592" w:rsidRDefault="008D21D4" w:rsidP="00AA1592">
      <w:pPr>
        <w:pStyle w:val="BodyTextIndent"/>
        <w:ind w:left="0"/>
        <w:jc w:val="center"/>
        <w:rPr>
          <w:sz w:val="28"/>
          <w:szCs w:val="28"/>
        </w:rPr>
      </w:pPr>
      <w:r w:rsidRPr="00AA1592">
        <w:rPr>
          <w:sz w:val="28"/>
          <w:szCs w:val="28"/>
        </w:rPr>
        <w:t>ПЕДАГОГИЧЕСКОГО ОБРАЗОВАНИЯ</w:t>
      </w:r>
    </w:p>
    <w:p w:rsidR="008D21D4" w:rsidRDefault="008D21D4" w:rsidP="00AA1592">
      <w:pPr>
        <w:pStyle w:val="BodyTextIndent"/>
        <w:ind w:left="0"/>
        <w:jc w:val="center"/>
      </w:pPr>
    </w:p>
    <w:p w:rsidR="008D21D4" w:rsidRDefault="008D21D4" w:rsidP="00AA1592">
      <w:pPr>
        <w:pStyle w:val="BodyTextIndent"/>
        <w:ind w:left="0"/>
        <w:jc w:val="center"/>
      </w:pPr>
    </w:p>
    <w:p w:rsidR="008D21D4" w:rsidRDefault="008D21D4" w:rsidP="00AA1592">
      <w:pPr>
        <w:pStyle w:val="BodyTextIndent"/>
        <w:ind w:left="0"/>
        <w:jc w:val="center"/>
      </w:pPr>
    </w:p>
    <w:p w:rsidR="008D21D4" w:rsidRDefault="008D21D4" w:rsidP="00AA1592">
      <w:pPr>
        <w:pStyle w:val="BodyTextIndent"/>
        <w:ind w:left="0"/>
        <w:jc w:val="center"/>
        <w:rPr>
          <w:color w:val="1D1B11"/>
          <w:sz w:val="28"/>
          <w:szCs w:val="28"/>
        </w:rPr>
      </w:pPr>
    </w:p>
    <w:p w:rsidR="008D21D4" w:rsidRPr="005C58FE" w:rsidRDefault="008D21D4" w:rsidP="00AA1592">
      <w:pPr>
        <w:pStyle w:val="BodyTextIndent"/>
        <w:ind w:left="0"/>
        <w:jc w:val="center"/>
        <w:rPr>
          <w:i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AF62BA" w:rsidRDefault="008D21D4" w:rsidP="00AA1592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       </w:t>
      </w:r>
      <w:r>
        <w:rPr>
          <w:b/>
          <w:sz w:val="32"/>
          <w:szCs w:val="32"/>
        </w:rPr>
        <w:t>Основн</w:t>
      </w:r>
      <w:r>
        <w:rPr>
          <w:b/>
          <w:sz w:val="32"/>
          <w:szCs w:val="32"/>
          <w:lang w:val="ru-RU"/>
        </w:rPr>
        <w:t>ые</w:t>
      </w:r>
      <w:r w:rsidRPr="00AF62BA">
        <w:rPr>
          <w:b/>
          <w:sz w:val="32"/>
          <w:szCs w:val="32"/>
        </w:rPr>
        <w:t xml:space="preserve"> принцип</w:t>
      </w:r>
      <w:r>
        <w:rPr>
          <w:b/>
          <w:sz w:val="32"/>
          <w:szCs w:val="32"/>
          <w:lang w:val="ru-RU"/>
        </w:rPr>
        <w:t>ы</w:t>
      </w:r>
      <w:r w:rsidRPr="00AF62BA">
        <w:rPr>
          <w:b/>
          <w:sz w:val="32"/>
          <w:szCs w:val="32"/>
        </w:rPr>
        <w:t xml:space="preserve"> обучения чтению и письму</w:t>
      </w:r>
    </w:p>
    <w:p w:rsidR="008D21D4" w:rsidRDefault="008D21D4" w:rsidP="00AA15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  <w:r w:rsidRPr="00AA5175">
        <w:rPr>
          <w:b/>
          <w:color w:val="1D1B11"/>
          <w:sz w:val="32"/>
          <w:szCs w:val="32"/>
        </w:rPr>
        <w:t xml:space="preserve">              </w:t>
      </w: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  <w:r w:rsidRPr="005C58FE">
        <w:rPr>
          <w:i/>
          <w:color w:val="1D1B11"/>
          <w:sz w:val="28"/>
          <w:szCs w:val="28"/>
        </w:rPr>
        <w:t xml:space="preserve">                                                           </w:t>
      </w:r>
    </w:p>
    <w:p w:rsidR="008D21D4" w:rsidRDefault="008D21D4" w:rsidP="00AA1592">
      <w:pPr>
        <w:rPr>
          <w:i/>
          <w:color w:val="1D1B11"/>
          <w:sz w:val="28"/>
          <w:szCs w:val="28"/>
        </w:rPr>
      </w:pPr>
    </w:p>
    <w:p w:rsidR="008D21D4" w:rsidRDefault="008D21D4" w:rsidP="00AA1592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 </w:t>
      </w:r>
      <w:r>
        <w:rPr>
          <w:color w:val="1D1B11"/>
          <w:sz w:val="28"/>
          <w:szCs w:val="28"/>
          <w:lang w:val="ru-RU"/>
        </w:rPr>
        <w:t xml:space="preserve">                     </w:t>
      </w:r>
      <w:r>
        <w:rPr>
          <w:color w:val="1D1B11"/>
          <w:sz w:val="28"/>
          <w:szCs w:val="28"/>
        </w:rPr>
        <w:t xml:space="preserve">   Уч</w:t>
      </w:r>
      <w:r>
        <w:rPr>
          <w:color w:val="1D1B11"/>
          <w:sz w:val="28"/>
          <w:szCs w:val="28"/>
          <w:lang w:val="ru-RU"/>
        </w:rPr>
        <w:t>ебный практикум</w:t>
      </w:r>
      <w:r>
        <w:rPr>
          <w:color w:val="1D1B11"/>
          <w:sz w:val="28"/>
          <w:szCs w:val="28"/>
        </w:rPr>
        <w:t xml:space="preserve">  </w:t>
      </w:r>
      <w:r w:rsidRPr="005C58FE">
        <w:rPr>
          <w:color w:val="1D1B11"/>
          <w:sz w:val="28"/>
          <w:szCs w:val="28"/>
        </w:rPr>
        <w:t>слушателя курсов</w:t>
      </w:r>
    </w:p>
    <w:p w:rsidR="008D21D4" w:rsidRPr="005C58FE" w:rsidRDefault="008D21D4" w:rsidP="00AA1592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  </w:t>
      </w:r>
      <w:r w:rsidRPr="005C58FE">
        <w:rPr>
          <w:color w:val="1D1B11"/>
          <w:sz w:val="28"/>
          <w:szCs w:val="28"/>
        </w:rPr>
        <w:t>повышения квалификации</w:t>
      </w:r>
    </w:p>
    <w:p w:rsidR="008D21D4" w:rsidRPr="005C58FE" w:rsidRDefault="008D21D4" w:rsidP="00AA1592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 </w:t>
      </w:r>
      <w:r>
        <w:rPr>
          <w:color w:val="1D1B11"/>
          <w:sz w:val="28"/>
          <w:szCs w:val="28"/>
          <w:lang w:val="ru-RU"/>
        </w:rPr>
        <w:t xml:space="preserve">  </w:t>
      </w:r>
      <w:r>
        <w:rPr>
          <w:color w:val="1D1B11"/>
          <w:sz w:val="28"/>
          <w:szCs w:val="28"/>
        </w:rPr>
        <w:t xml:space="preserve"> </w:t>
      </w:r>
      <w:r w:rsidRPr="005C58FE">
        <w:rPr>
          <w:color w:val="1D1B11"/>
          <w:sz w:val="28"/>
          <w:szCs w:val="28"/>
        </w:rPr>
        <w:t>учителей начальных классов</w:t>
      </w: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      Радкевич Ирины Михайловны</w:t>
      </w: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5C58FE" w:rsidRDefault="008D21D4" w:rsidP="00AA1592">
      <w:pPr>
        <w:ind w:right="-82"/>
        <w:jc w:val="center"/>
        <w:rPr>
          <w:i/>
          <w:color w:val="1D1B11"/>
          <w:sz w:val="28"/>
          <w:szCs w:val="28"/>
        </w:rPr>
      </w:pPr>
    </w:p>
    <w:p w:rsidR="008D21D4" w:rsidRPr="00AA1592" w:rsidRDefault="008D21D4" w:rsidP="00AA1592">
      <w:pPr>
        <w:ind w:right="-82"/>
        <w:rPr>
          <w:color w:val="1D1B11"/>
          <w:sz w:val="28"/>
          <w:szCs w:val="28"/>
          <w:lang w:val="ru-RU"/>
        </w:rPr>
      </w:pPr>
      <w:r>
        <w:rPr>
          <w:i/>
          <w:color w:val="1D1B11"/>
          <w:sz w:val="28"/>
          <w:szCs w:val="28"/>
          <w:lang w:val="ru-RU"/>
        </w:rPr>
        <w:t xml:space="preserve">                                                 </w:t>
      </w:r>
      <w:r w:rsidRPr="005C58FE">
        <w:rPr>
          <w:color w:val="1D1B11"/>
          <w:sz w:val="28"/>
          <w:szCs w:val="28"/>
        </w:rPr>
        <w:t>Си</w:t>
      </w:r>
      <w:r>
        <w:rPr>
          <w:color w:val="1D1B11"/>
          <w:sz w:val="28"/>
          <w:szCs w:val="28"/>
        </w:rPr>
        <w:t>мферополь 201</w:t>
      </w:r>
      <w:r>
        <w:rPr>
          <w:color w:val="1D1B11"/>
          <w:sz w:val="28"/>
          <w:szCs w:val="28"/>
          <w:lang w:val="ru-RU"/>
        </w:rPr>
        <w:t>4</w:t>
      </w:r>
    </w:p>
    <w:p w:rsidR="008D21D4" w:rsidRPr="001E078E" w:rsidRDefault="008D21D4" w:rsidP="001E078E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7"/>
          <w:lang w:val="ru-RU" w:eastAsia="uk-UA"/>
        </w:rPr>
        <w:t xml:space="preserve">                      </w:t>
      </w:r>
      <w:r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>
        <w:rPr>
          <w:rFonts w:ascii="Times New Roman" w:hAnsi="Times New Roman"/>
          <w:b/>
          <w:bCs/>
          <w:color w:val="000000"/>
          <w:sz w:val="27"/>
          <w:lang w:val="ru-RU" w:eastAsia="uk-UA"/>
        </w:rPr>
        <w:t>Основные  п</w:t>
      </w:r>
      <w:r>
        <w:rPr>
          <w:rFonts w:ascii="Times New Roman" w:hAnsi="Times New Roman"/>
          <w:b/>
          <w:bCs/>
          <w:color w:val="000000"/>
          <w:sz w:val="27"/>
          <w:lang w:eastAsia="uk-UA"/>
        </w:rPr>
        <w:t>ринципы</w:t>
      </w:r>
      <w:r>
        <w:rPr>
          <w:rFonts w:ascii="Times New Roman" w:hAnsi="Times New Roman"/>
          <w:b/>
          <w:bCs/>
          <w:color w:val="000000"/>
          <w:sz w:val="27"/>
          <w:lang w:val="ru-RU"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lang w:eastAsia="uk-UA"/>
        </w:rPr>
        <w:t xml:space="preserve"> обучения </w:t>
      </w:r>
      <w:r>
        <w:rPr>
          <w:rFonts w:ascii="Times New Roman" w:hAnsi="Times New Roman"/>
          <w:b/>
          <w:bCs/>
          <w:color w:val="000000"/>
          <w:sz w:val="27"/>
          <w:lang w:val="ru-RU" w:eastAsia="uk-UA"/>
        </w:rPr>
        <w:t xml:space="preserve">чтению и 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 xml:space="preserve"> письму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>
        <w:rPr>
          <w:rFonts w:ascii="Times New Roman" w:hAnsi="Times New Roman"/>
          <w:color w:val="000000"/>
          <w:sz w:val="27"/>
          <w:szCs w:val="27"/>
          <w:lang w:val="ru-RU" w:eastAsia="uk-UA"/>
        </w:rPr>
        <w:t xml:space="preserve">                    </w:t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В отечественной методике обучения грамоте сложился целостный подход к процессу чтением и письмом. В основу этого подхода положен звуковой аналитико-синтетический метод, который реализуется через следующие операции: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- расчленение звучащей речи на звуки – фонемы;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- дифференцирование фонем по основным признакам;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- перекодирование фонем в графические символы, т.е. буквы (печатные и письменные);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- обратное перекодирование букв в звукифонемы, слияние их в процессе чтения;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- соотнесение прочтенных звукобуквенных комплексов с определенным смысловым значением.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Это путь овладения чтением и письмом как речевым действием. Термин «письмо» в данном контексте употребляется в значении «графика» как система отношений между звуками и буквами.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Специфика письма как учебного предмета в начальной школе предполагает три звена: слухо-артикуляционный, зрительно-двигательный. Следовательно, письмо – это процесс воспроизведения букв и их комплексов на бумаге с помощью определенных движений рукой. В период обучения детей письму учитель должен заботиться о выработке элементарного графического навыка как сложного рече-руко-двигательного действия.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b/>
          <w:bCs/>
          <w:color w:val="666666"/>
          <w:sz w:val="27"/>
          <w:lang w:eastAsia="uk-UA"/>
        </w:rPr>
        <w:t>^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>
        <w:rPr>
          <w:rFonts w:ascii="Times New Roman" w:hAnsi="Times New Roman"/>
          <w:b/>
          <w:bCs/>
          <w:color w:val="000000"/>
          <w:sz w:val="27"/>
          <w:lang w:val="ru-RU" w:eastAsia="uk-UA"/>
        </w:rPr>
        <w:t xml:space="preserve">                               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Методы и приемы обучения письму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</w:p>
    <w:p w:rsidR="008D21D4" w:rsidRPr="001E078E" w:rsidRDefault="008D21D4" w:rsidP="001E0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Прием анализа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применяется при вычленении зрительных элементов в букве. Дети испытывают трудности в дифференцировании их формы. Поэтому учитель предлагает для анализа буквы, сконструированные из шаблонов. Разъединяя элементы, учащиеся осознают поэлементный состав буквы.</w:t>
      </w:r>
    </w:p>
    <w:p w:rsidR="008D21D4" w:rsidRPr="001E078E" w:rsidRDefault="008D21D4" w:rsidP="001E078E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  <w:r w:rsidRPr="001E078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Прием анализа важен при определении двигательных элементов. В данном случае анализируются движения руки. Дети усваивают суть образования двигательного элемента: первый элемент заканчивается в точке начала второго: 1) за счет удлинения начала или конца зрительного элемента; 2) за счет появления соединительной плавной линии – повтора движения.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</w:r>
    </w:p>
    <w:p w:rsidR="008D21D4" w:rsidRPr="001E078E" w:rsidRDefault="008D21D4" w:rsidP="001E0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Прием конструирования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помогает усвоить форму каждой буквы как единство частей в целом. При конструировании также используются шаблоны. Применяется данный прием на этапе подготовки к написанию, к осознанию двигательных элементов. Использовать его можно как при демонстрации на доске, так и индивидуально. Для интеллектуального развития детей элементы подбираются учителем не строго для одной буквы, а с учетом их переменных свойств. Например, для буквы</w:t>
      </w:r>
      <w:r w:rsidRPr="001E078E">
        <w:rPr>
          <w:rFonts w:ascii="Times New Roman" w:hAnsi="Times New Roman"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з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даются 2-3 разных полуовала.</w:t>
      </w:r>
    </w:p>
    <w:p w:rsidR="008D21D4" w:rsidRPr="001E078E" w:rsidRDefault="008D21D4" w:rsidP="001E0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Прием копирования –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это обведение букв по контуру. Для того чтобы закрепить правильное направление движения руки, важно использовать начальную очку с указанием направления. Только в этом случае прием копирования даст положительный результат.</w:t>
      </w:r>
    </w:p>
    <w:p w:rsidR="008D21D4" w:rsidRPr="001E078E" w:rsidRDefault="008D21D4" w:rsidP="001E0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Прием тактирования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прежде всего должен выполнять функцию снятия напряжения с руки пишущего, а уже потом функцию организации дружной работы класса. Все движения вниз сопровождаются напряжением руки и выполняются под счет: «раз, два..». Все движения в сторону вверх сопровождаются расслаблением руки выполняются под счет: «и». Например,</w:t>
      </w:r>
      <w:r w:rsidRPr="001E078E">
        <w:rPr>
          <w:rFonts w:ascii="Times New Roman" w:hAnsi="Times New Roman"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а</w:t>
      </w:r>
      <w:r w:rsidRPr="001E078E">
        <w:rPr>
          <w:rFonts w:ascii="Times New Roman" w:hAnsi="Times New Roman"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– и-раз-и-два-и;</w:t>
      </w:r>
      <w:r w:rsidRPr="001E078E">
        <w:rPr>
          <w:rFonts w:ascii="Times New Roman" w:hAnsi="Times New Roman"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Б-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раз-и-два-и-и.</w:t>
      </w:r>
    </w:p>
    <w:p w:rsidR="008D21D4" w:rsidRPr="001E078E" w:rsidRDefault="008D21D4" w:rsidP="001E0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Прием алгоритмизации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позволяет организовать правильную самостоятельную работу учащихся на этапе закрепления: при копировании букв, соединении элементов в букве, соединении букв и т.д. Пример алгоритма соединения букв:</w:t>
      </w:r>
    </w:p>
    <w:p w:rsidR="008D21D4" w:rsidRPr="001E078E" w:rsidRDefault="008D21D4" w:rsidP="001E0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  <w:t>Если следующая буква в сочетании относится к верхнему виду соединения (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и, й, к, н, п, р, с, т, у, ц, ш, щ, ь, ы, ю),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то линию от предшествующей буквы нужно продолжить до верхней линейки рабочей строки.</w:t>
      </w:r>
      <w:r w:rsidRPr="001E078E">
        <w:rPr>
          <w:rFonts w:ascii="Times New Roman" w:hAnsi="Times New Roman"/>
          <w:color w:val="000000"/>
          <w:sz w:val="27"/>
          <w:lang w:eastAsia="uk-UA"/>
        </w:rPr>
        <w:t> </w:t>
      </w:r>
    </w:p>
    <w:p w:rsidR="008D21D4" w:rsidRPr="001E078E" w:rsidRDefault="008D21D4" w:rsidP="001E0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  <w:t>Если следующая буква относится к нижнему виду соединения (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а, б, д, л, м, о, ф, я)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, линию нужно отвести вправо, чуть выше нижней линейки строки.</w:t>
      </w:r>
    </w:p>
    <w:p w:rsidR="008D21D4" w:rsidRPr="001E078E" w:rsidRDefault="008D21D4" w:rsidP="001E0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br/>
        <w:t>Если следующая буква относится к среднеплавному виду соединения (</w:t>
      </w:r>
      <w:r w:rsidRPr="001E078E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в, г, е, ж, з, х, ч, ъ, э),</w:t>
      </w:r>
      <w:r w:rsidRPr="001E078E">
        <w:rPr>
          <w:rFonts w:ascii="Times New Roman" w:hAnsi="Times New Roman"/>
          <w:b/>
          <w:bCs/>
          <w:color w:val="000000"/>
          <w:sz w:val="27"/>
          <w:lang w:eastAsia="uk-UA"/>
        </w:rPr>
        <w:t> </w:t>
      </w:r>
      <w:r w:rsidRPr="001E078E">
        <w:rPr>
          <w:rFonts w:ascii="Times New Roman" w:hAnsi="Times New Roman"/>
          <w:color w:val="000000"/>
          <w:sz w:val="27"/>
          <w:szCs w:val="27"/>
          <w:lang w:eastAsia="uk-UA"/>
        </w:rPr>
        <w:t>линию нужно довести до середины строки и плавно перейти к начертанию другой буквы.</w:t>
      </w:r>
    </w:p>
    <w:sectPr w:rsidR="008D21D4" w:rsidRPr="001E078E" w:rsidSect="00F44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065"/>
    <w:multiLevelType w:val="multilevel"/>
    <w:tmpl w:val="3EF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159F5"/>
    <w:multiLevelType w:val="multilevel"/>
    <w:tmpl w:val="A216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E1311"/>
    <w:multiLevelType w:val="multilevel"/>
    <w:tmpl w:val="3F56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7322CF"/>
    <w:multiLevelType w:val="multilevel"/>
    <w:tmpl w:val="2C34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DF3709"/>
    <w:multiLevelType w:val="multilevel"/>
    <w:tmpl w:val="3E6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F1364"/>
    <w:multiLevelType w:val="multilevel"/>
    <w:tmpl w:val="513E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714C70"/>
    <w:multiLevelType w:val="multilevel"/>
    <w:tmpl w:val="5994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B52746"/>
    <w:multiLevelType w:val="multilevel"/>
    <w:tmpl w:val="E38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C53D1"/>
    <w:multiLevelType w:val="multilevel"/>
    <w:tmpl w:val="7AE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FE425D"/>
    <w:multiLevelType w:val="multilevel"/>
    <w:tmpl w:val="35A2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215BF5"/>
    <w:multiLevelType w:val="multilevel"/>
    <w:tmpl w:val="2646D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897914"/>
    <w:multiLevelType w:val="multilevel"/>
    <w:tmpl w:val="AA2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78E"/>
    <w:rsid w:val="00033B04"/>
    <w:rsid w:val="001E078E"/>
    <w:rsid w:val="002D3EB2"/>
    <w:rsid w:val="00421E37"/>
    <w:rsid w:val="004B2565"/>
    <w:rsid w:val="005747A6"/>
    <w:rsid w:val="005C58FE"/>
    <w:rsid w:val="006141DF"/>
    <w:rsid w:val="008D21D4"/>
    <w:rsid w:val="00976551"/>
    <w:rsid w:val="00AA1592"/>
    <w:rsid w:val="00AA5175"/>
    <w:rsid w:val="00AF62BA"/>
    <w:rsid w:val="00C34FCA"/>
    <w:rsid w:val="00CE3324"/>
    <w:rsid w:val="00D05C87"/>
    <w:rsid w:val="00EE2159"/>
    <w:rsid w:val="00F4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9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tback">
    <w:name w:val="butback"/>
    <w:basedOn w:val="DefaultParagraphFont"/>
    <w:uiPriority w:val="99"/>
    <w:rsid w:val="001E078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E078E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E078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AA15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1592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658</Words>
  <Characters>3753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New User</cp:lastModifiedBy>
  <cp:revision>7</cp:revision>
  <dcterms:created xsi:type="dcterms:W3CDTF">2014-02-27T20:53:00Z</dcterms:created>
  <dcterms:modified xsi:type="dcterms:W3CDTF">2014-09-28T12:29:00Z</dcterms:modified>
</cp:coreProperties>
</file>