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6CE7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Применение игровых технологий в работе педагога</w:t>
      </w:r>
    </w:p>
    <w:p w:rsidR="00000000" w:rsidRDefault="00B86CE7">
      <w:pPr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Автор: Усманова Руфия Рафиковна</w:t>
      </w:r>
    </w:p>
    <w:p w:rsidR="00000000" w:rsidRDefault="00B86CE7">
      <w:pPr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Должность: учитель надомного обучения</w:t>
      </w:r>
    </w:p>
    <w:p w:rsidR="00000000" w:rsidRDefault="00B86CE7">
      <w:pPr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Организация: ГБС(К)ОУ №142 </w:t>
      </w:r>
      <w:r>
        <w:rPr>
          <w:rFonts w:ascii="Times New Roman" w:hAnsi="Times New Roman" w:cs="Times New Roman CYR"/>
          <w:b/>
          <w:bCs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вида </w:t>
      </w:r>
    </w:p>
    <w:p w:rsidR="00000000" w:rsidRDefault="00B86CE7">
      <w:pPr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Населенный пунк: г. Казань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Задолго до того как игра стала предметом научных исследований, она широко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в качестве одного из важных средств воспитания и обучения детей. В различных системах обучения детей с ограниченными возможностями здоровья игре отводится особое место. Игра для ребенка - не просто интересное времяпрепровождение. Игры, спос</w:t>
      </w:r>
      <w:r>
        <w:rPr>
          <w:rFonts w:ascii="Times New Roman" w:hAnsi="Times New Roman" w:cs="Times New Roman"/>
          <w:sz w:val="28"/>
          <w:szCs w:val="28"/>
        </w:rPr>
        <w:t>обствующие развитию восприятия, внимания, памяти, мышления, развитию творческих способностей, направлены на умственное развитие. Игра является средством воспитания и обучения, если она включается в целостный педагогический процесс. Руководя игрой, организу</w:t>
      </w:r>
      <w:r>
        <w:rPr>
          <w:rFonts w:ascii="Times New Roman" w:hAnsi="Times New Roman" w:cs="Times New Roman"/>
          <w:sz w:val="28"/>
          <w:szCs w:val="28"/>
        </w:rPr>
        <w:t xml:space="preserve">я жизнь детей в игре, педагог воздействует на все стороны развития личности ребенка: на чувства, на сознание, на волю и на поведение в целом. 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появилось целое направление в педагогической науке - игровая педагогика, которая считает игру в</w:t>
      </w:r>
      <w:r>
        <w:rPr>
          <w:rFonts w:ascii="Times New Roman" w:hAnsi="Times New Roman" w:cs="Times New Roman"/>
          <w:sz w:val="28"/>
          <w:szCs w:val="28"/>
        </w:rPr>
        <w:t>едущим методом воспитания и обучения детей, поэтому упор на игру (игровую деятельность, игровые формы, приемы) - это важнейший путь включения детей в учебную работу, способ обеспечения эмоционального отклика на воспитательные воздействия и нормальные услов</w:t>
      </w:r>
      <w:r>
        <w:rPr>
          <w:rFonts w:ascii="Times New Roman" w:hAnsi="Times New Roman" w:cs="Times New Roman"/>
          <w:sz w:val="28"/>
          <w:szCs w:val="28"/>
        </w:rPr>
        <w:t>ия жизнедеятельности.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приходится наблюдать, что дети неактивны на уроке, их трудно заинтересовать. И даже при четко продуманной работе на уроке нередко можно увидеть равнодушные глаза детей, поэтому  надо задумываюсь над тем, как изменить подач</w:t>
      </w:r>
      <w:r>
        <w:rPr>
          <w:rFonts w:ascii="Times New Roman" w:hAnsi="Times New Roman" w:cs="Times New Roman"/>
          <w:sz w:val="28"/>
          <w:szCs w:val="28"/>
        </w:rPr>
        <w:t>у материала, чтобы каждый ребенок получил удовольствие от урока.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приемов активизации мыслительной деятельности позволяют лишь на некоторое время заинтересовать детей. А как сделать так, чтобы весь урок был ярким, интересным? Позволя</w:t>
      </w:r>
      <w:r>
        <w:rPr>
          <w:rFonts w:ascii="Times New Roman" w:hAnsi="Times New Roman" w:cs="Times New Roman"/>
          <w:sz w:val="28"/>
          <w:szCs w:val="28"/>
        </w:rPr>
        <w:t>ет решить эту проблему умелое сочетание обучения и игры.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обучение может использоваться как метод, как методический прием, как форма обучения.   По времени игра может продолжаться  10-15 минут.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игра не заменяет полностью традиционные формы </w:t>
      </w:r>
      <w:r>
        <w:rPr>
          <w:rFonts w:ascii="Times New Roman" w:hAnsi="Times New Roman" w:cs="Times New Roman"/>
          <w:sz w:val="28"/>
          <w:szCs w:val="28"/>
        </w:rPr>
        <w:t>и методы обучения; она рационально их дополняет, позволяя более эффективно достигать поставленной цели и задачи конкретного задания и всего учебного процесса в целом. Игра является одним из средств формирования психических образований, крайне необходимых д</w:t>
      </w:r>
      <w:r>
        <w:rPr>
          <w:rFonts w:ascii="Times New Roman" w:hAnsi="Times New Roman" w:cs="Times New Roman"/>
          <w:sz w:val="28"/>
          <w:szCs w:val="28"/>
        </w:rPr>
        <w:t>ля учебного процесса, мышления, внимания, памяти и т.д.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игра направлена на решение не одной задачи, а целого круга задач, причем ведущая функция игры определяется ее дидактическими целями.  Не следует приучать детей к тому, чтоб на каждом урок</w:t>
      </w:r>
      <w:r>
        <w:rPr>
          <w:rFonts w:ascii="Times New Roman" w:hAnsi="Times New Roman" w:cs="Times New Roman"/>
          <w:sz w:val="28"/>
          <w:szCs w:val="28"/>
        </w:rPr>
        <w:t>е они ждали новых игр или сказочных героев, так как игра не должна являться самоцелью, не должна проводиться только ради развлечения. Она обязательно должна быть подчинена тем конкретным учебно-воспитательным задачам, которые решаются на уроках. В силу это</w:t>
      </w:r>
      <w:r>
        <w:rPr>
          <w:rFonts w:ascii="Times New Roman" w:hAnsi="Times New Roman" w:cs="Times New Roman"/>
          <w:sz w:val="28"/>
          <w:szCs w:val="28"/>
        </w:rPr>
        <w:t>го игру надо заранее планировать, продумывать и место в структуре урока, определить форму ее проведения, подготовить материал, необходимый для проведения игры. Необходим последовательный переход от уроков, насыщенных игровыми ситуациями, к урокам, где игра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поощрением за работу на уроке, или используется для активизации внимания: веселые шутки-минутки, игры-путешествия в страну чисел или страну знаний.</w:t>
      </w:r>
    </w:p>
    <w:p w:rsidR="00000000" w:rsidRDefault="00B86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игровых технологий обеспечивает достижение единства эмоционального и рацио</w:t>
      </w:r>
      <w:r>
        <w:rPr>
          <w:rFonts w:ascii="Times New Roman" w:hAnsi="Times New Roman" w:cs="Times New Roman"/>
          <w:sz w:val="28"/>
          <w:szCs w:val="28"/>
        </w:rPr>
        <w:t>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 Я использую их на разных этапах урока.</w:t>
      </w:r>
    </w:p>
    <w:p w:rsidR="00000000" w:rsidRDefault="00B86CE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I. Примеры игр, применяемых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объяснении нового материала: «Математическая эстафета», «Молчанка», «Веселый счет», «Сбежавшие числа». </w:t>
      </w:r>
    </w:p>
    <w:p w:rsidR="00000000" w:rsidRDefault="00B86CE7">
      <w:pPr>
        <w:pStyle w:val="a0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применяемые при закреплении материала.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На уроках закрепления нового материала важно применять игры на воспроизведение свойств, действий, вычислит</w:t>
      </w:r>
      <w:r>
        <w:rPr>
          <w:sz w:val="28"/>
          <w:szCs w:val="28"/>
        </w:rPr>
        <w:t>ельных приёмов и т.д. В этом случае использование средств наглядности следует ограничить и направить внимание на проговаривание вслух правил, свойств, вычислительных приёмов. При закрепление материала форма проведения игры может быть разной.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III.   Игры, применяемые при обобщении материала: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На этапе обобщения знаний целесообразно проводить уроки в форме путешествия в сказочную страну или условной экскурсии в лес с элементами игры.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IV. </w:t>
      </w:r>
      <w:r>
        <w:rPr>
          <w:sz w:val="28"/>
          <w:szCs w:val="28"/>
        </w:rPr>
        <w:t>Игра «Отгадай кроссворд»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приемов, сп</w:t>
      </w:r>
      <w:r>
        <w:rPr>
          <w:sz w:val="28"/>
          <w:szCs w:val="28"/>
        </w:rPr>
        <w:t>особствующих активизации запоминания  является применение кроссвордов на уроках.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кроссвордов повышает интерес учащихся к учебной деятельности, сам процесс заполнения кроссвордов является для учащихся занимательным. Запоминание героев сказок, пер</w:t>
      </w:r>
      <w:r>
        <w:rPr>
          <w:sz w:val="28"/>
          <w:szCs w:val="28"/>
        </w:rPr>
        <w:t>сонажей    осуществляется как бы само собой, непроизвольно, в результате волевой и сознательной деятельности школьников при решении кроссвордов.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Несложные по форме и содержанию – включают от 5 до 10 слов. Решение кроссвордов доступно учащимся, но задания в</w:t>
      </w:r>
      <w:r>
        <w:rPr>
          <w:sz w:val="28"/>
          <w:szCs w:val="28"/>
        </w:rPr>
        <w:t xml:space="preserve"> меру трудны, заставляют их думать над ответом.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Кроссворд используют при повторении и закреплении материала с учащимися на различных этапах урока. К одному и том же кроссворду карточки с заданиями могут быть составлены по разному. Задание может быть дано в</w:t>
      </w:r>
      <w:r>
        <w:rPr>
          <w:sz w:val="28"/>
          <w:szCs w:val="28"/>
        </w:rPr>
        <w:t xml:space="preserve"> зрительной форме с опорой на наглядность и использовано при первичном закреплении материала. Учащимся коррекционной школы полезно не только услышать вопрос, но также увидеть его написанным и прочитать, так как на протяжении всего обучения дети испытывают </w:t>
      </w:r>
      <w:r>
        <w:rPr>
          <w:sz w:val="28"/>
          <w:szCs w:val="28"/>
        </w:rPr>
        <w:t xml:space="preserve">трудности в формулировании вопросов и определений. 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следит за тем, как выполняется задание, и если находит у ученика ошибку, то дает ему карточку с готовым ответом, чтобы он мог видеть и правильный ответ, и правильное написание слова. 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V.</w:t>
      </w:r>
      <w:r>
        <w:rPr>
          <w:sz w:val="28"/>
          <w:szCs w:val="28"/>
        </w:rPr>
        <w:t xml:space="preserve"> Нетрадиционные уроки. 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школьной практике и в методической литературе принято делить методы обучения на стандартные и нестандартные. Стандартный вид обучения является самым распространенным и представляет собой обучение знаниям, умениям и навыкам по схе</w:t>
      </w:r>
      <w:r>
        <w:rPr>
          <w:sz w:val="28"/>
          <w:szCs w:val="28"/>
        </w:rPr>
        <w:t>ме: изучение нового - закрепление - контроль-оценка. В настоящее время традиционное обучение постепенно вытесняется другими видами обучения, так как определяются другие требования к личности и процессу ее развития в школе.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Нетрадиционные формы  позволяют с</w:t>
      </w:r>
      <w:r>
        <w:rPr>
          <w:sz w:val="28"/>
          <w:szCs w:val="28"/>
        </w:rPr>
        <w:t>делать уроки более доступной и увлекательной, привлечь интерес  учащихся, привлечь их к деятельности, в процессе которой приобретаются необходимые знания, умения и навыки. Применяя в течение ряда лет в своей практике нестандартные уроки, я сделала вывод, ч</w:t>
      </w:r>
      <w:r>
        <w:rPr>
          <w:sz w:val="28"/>
          <w:szCs w:val="28"/>
        </w:rPr>
        <w:t>то такие уроки повышают эффективность обучения, предполагают творческий подход со стороны учителя и ученика. Это одна из форм активного обучения. В своей работе я применяю следующие нестандартные уроки: урок-игра; урок-путешествие; урок-сказка.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с огр</w:t>
      </w:r>
      <w:r>
        <w:rPr>
          <w:sz w:val="28"/>
          <w:szCs w:val="28"/>
        </w:rPr>
        <w:t xml:space="preserve">аниченными возможностями здоровья намного проще воспринимать учебный материал на основе сказки. Для того, чтобы урок носил творческий и развивающий характер, воспитывал у детей трудолюбие, чувство </w:t>
      </w:r>
      <w:r>
        <w:rPr>
          <w:sz w:val="28"/>
          <w:szCs w:val="28"/>
        </w:rPr>
        <w:lastRenderedPageBreak/>
        <w:t xml:space="preserve">сострадания, развивал логическое мышление, приглашаю детей </w:t>
      </w:r>
      <w:r>
        <w:rPr>
          <w:sz w:val="28"/>
          <w:szCs w:val="28"/>
        </w:rPr>
        <w:t>в сказку. Сказочный сюжет позволяет осуществлять плавный переход от одного вида деятельности к другому и обеспечивать формирование основы знаний. На уроке - сказке изучение нового материала по математике и закрепление ранее изученного облачено в форму сказ</w:t>
      </w:r>
      <w:r>
        <w:rPr>
          <w:sz w:val="28"/>
          <w:szCs w:val="28"/>
        </w:rPr>
        <w:t>очного повествования. Сказочный сюжет вводит обучающихся в волшебный мир, где они вместе с героями преодолевают препятствия, побеждают зло, помогают обиженным. На таких уроках есть прекрасная возможность для осуществления межпредметных связей, для реализац</w:t>
      </w:r>
      <w:r>
        <w:rPr>
          <w:sz w:val="28"/>
          <w:szCs w:val="28"/>
        </w:rPr>
        <w:t xml:space="preserve">ии воспитательных целей. В начале урока детей необходимо ввести в мир сказки. Для этого можно прочитать сказку с детьми до урока, оформить выставку рисунков или посмотреть фрагменты фильмов. </w:t>
      </w:r>
    </w:p>
    <w:p w:rsidR="00000000" w:rsidRDefault="00B86CE7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я пришла к выводу, что в педагогической работе</w:t>
      </w:r>
      <w:r>
        <w:rPr>
          <w:sz w:val="28"/>
          <w:szCs w:val="28"/>
        </w:rPr>
        <w:t xml:space="preserve"> большое внимание необходимо уделять игровым технологиям, в частности дидактической игре на уроке для  усвоения и закрепления новых знаний у обучающихся с ограниченными возможностями здоровья. </w:t>
      </w:r>
    </w:p>
    <w:p w:rsidR="00000000" w:rsidRDefault="00B86CE7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Дидактическая игра позволяет не только активно включить обуча</w:t>
      </w:r>
      <w:r>
        <w:rPr>
          <w:sz w:val="28"/>
          <w:szCs w:val="28"/>
        </w:rPr>
        <w:t>ющихся в учебную деятельность, но и активизировать познавательную деятельность детей. Игра помогает учителю донести до обучающихся трудный материал в доступной форме. Отсюда можно сделать вывод о том, что использование игры необходимо при обучении детей шк</w:t>
      </w:r>
      <w:r>
        <w:rPr>
          <w:sz w:val="28"/>
          <w:szCs w:val="28"/>
        </w:rPr>
        <w:t xml:space="preserve">ольного возраста с нарушениями интеллекта. </w:t>
      </w:r>
    </w:p>
    <w:p w:rsidR="00000000" w:rsidRDefault="00B86CE7">
      <w:pPr>
        <w:pStyle w:val="a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может быть использована как и на этапах повторения и закрепления, так и на этапах изучения нового материала. Она должна в полной мере решать как образовательные задачи урока, так и задачи актив</w:t>
      </w:r>
      <w:r>
        <w:rPr>
          <w:sz w:val="28"/>
          <w:szCs w:val="28"/>
        </w:rPr>
        <w:t>изации познавательной деятельности, и быть основой ступенью в развитии познавательных интересов обучающихся.</w:t>
      </w:r>
    </w:p>
    <w:p w:rsidR="00000000" w:rsidRDefault="00B86CE7">
      <w:pPr>
        <w:pStyle w:val="a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Игры особенно необходимы в обучении и воспитании детей школьного возраста в специальных коррекционных школах 8 вида. Благодаря играм удается сконце</w:t>
      </w:r>
      <w:r>
        <w:rPr>
          <w:sz w:val="28"/>
          <w:szCs w:val="28"/>
        </w:rPr>
        <w:t>нтрировать внимание и привлечь интерес даже у самых несобранных учеников. Вначале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 Таким образом, дидактичес</w:t>
      </w:r>
      <w:r>
        <w:rPr>
          <w:sz w:val="28"/>
          <w:szCs w:val="28"/>
        </w:rPr>
        <w:t>кая игра - это целенаправленная творческая деятельность, в процессе которой дети успешно усваивают  и решают данные задания.</w:t>
      </w:r>
    </w:p>
    <w:p w:rsidR="00000000" w:rsidRDefault="00B86C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Примеры игр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Ι задание. Веселые задачи.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Какое сейчас время года?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Сколько глаз у 2 сов?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Сколько лап у 3 синиц?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Ты, да я, </w:t>
      </w:r>
      <w:r>
        <w:rPr>
          <w:rFonts w:ascii="Times New Roman" w:eastAsia="Times New Roman" w:hAnsi="Times New Roman" w:cs="Times New Roman"/>
          <w:sz w:val="28"/>
          <w:szCs w:val="28"/>
        </w:rPr>
        <w:t>да мы с тобой. Сколько нас всего?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Бабушка связала внукам шарфы и варежки. Она связала 3 шарфа и 6 варежек. Сколько у бабушки внуков?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Сколько орехов в пустом стакане? Сколько жирафов плавает в море?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Как называется фигура без углов.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ΙΙ задание. 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шение задачи.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действия.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дереве сидели 3 синички, прилетели ещё 3 снегиря. Сколько птиц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дереве?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3+3=6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елке висели 6 шишек, 2 упали. Сколько шишек осталось на дереве?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6-2=4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ΙΙΙ задание. Д/и Весёлый счёт.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Конверты с набором цифр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Выложите циф</w:t>
      </w:r>
      <w:r>
        <w:rPr>
          <w:rFonts w:ascii="Times New Roman" w:eastAsia="Times New Roman" w:hAnsi="Times New Roman" w:cs="Times New Roman"/>
          <w:sz w:val="28"/>
          <w:szCs w:val="28"/>
        </w:rPr>
        <w:t>ровой ряд от 1 до 10.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Назовите число на 1 больше 5, 7, 3.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Назовите число на 1 &lt; 4, 6, 8.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Назовите соседей числа 3,5,8.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Назовите какая цифра пропущена</w:t>
      </w: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. 5 . 7     4_6_8</w:t>
      </w:r>
    </w:p>
    <w:p w:rsidR="00000000" w:rsidRDefault="00B86CE7">
      <w:pPr>
        <w:spacing w:before="28" w:after="28" w:line="100" w:lineRule="atLeast"/>
        <w:rPr>
          <w:rFonts w:ascii="Times New Roman" w:hAnsi="Times New Roman"/>
          <w:sz w:val="28"/>
          <w:szCs w:val="28"/>
        </w:rPr>
      </w:pPr>
    </w:p>
    <w:p w:rsidR="00000000" w:rsidRDefault="00B86CE7">
      <w:pPr>
        <w:spacing w:before="28" w:after="28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Викторина по сказке «Снежная королева» (По одноименной сказке Г. X. Анде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рсена)</w:t>
      </w:r>
    </w:p>
    <w:p w:rsidR="00000000" w:rsidRDefault="00B86CE7">
      <w:pPr>
        <w:pStyle w:val="NormalWe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Какое слова выкладывал Кай из льдинок во дворце у Снежной королевы?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Снежинка; б) вечность; в) зима.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Что из вещей Герды оставила себе маленькая разбойница?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муфту; 2) шапку; 3) шубку.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Кто помогал Герде во дворце принца и принцессы?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</w:t>
      </w:r>
      <w:r>
        <w:rPr>
          <w:rFonts w:ascii="Times New Roman" w:eastAsia="Times New Roman" w:hAnsi="Times New Roman" w:cs="Times New Roman"/>
          <w:sz w:val="28"/>
          <w:szCs w:val="28"/>
        </w:rPr>
        <w:t>ошка; 2) меч; 3) ворон.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Оружие маленькой разбойницы: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лук; 2) меч; 3) нож.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Какой волшебный предмет попал Каю в глаз?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Соринка; 2) льдинка; 3) песчинка.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Какой волшебный предмет смастерил злой тролль?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зеркало; 2) ножницы; 3) фонарик.</w:t>
      </w:r>
    </w:p>
    <w:p w:rsidR="00000000" w:rsidRDefault="00B86CE7">
      <w:pPr>
        <w:pStyle w:val="NormalWe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Куда </w:t>
      </w:r>
      <w:r>
        <w:rPr>
          <w:rFonts w:ascii="Times New Roman" w:eastAsia="Times New Roman" w:hAnsi="Times New Roman" w:cs="Times New Roman"/>
          <w:sz w:val="28"/>
          <w:szCs w:val="28"/>
        </w:rPr>
        <w:t>обещал Кай посадить Снежную королеву?</w:t>
      </w:r>
    </w:p>
    <w:p w:rsidR="00000000" w:rsidRDefault="00B86CE7">
      <w:pPr>
        <w:pStyle w:val="NormalWeb"/>
        <w:spacing w:after="0"/>
        <w:ind w:left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огонь; 2) на печь; 3) на плиту.</w:t>
      </w:r>
    </w:p>
    <w:p w:rsidR="00000000" w:rsidRDefault="00B86CE7">
      <w:pPr>
        <w:spacing w:before="28"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Что смогло растопить ледяное сердце Кая?</w:t>
      </w:r>
    </w:p>
    <w:p w:rsidR="00000000" w:rsidRDefault="00B86CE7">
      <w:pPr>
        <w:spacing w:before="28"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слезы Герды 2) улыбка Снежной королевы 3) волшебство тролля</w:t>
      </w:r>
    </w:p>
    <w:p w:rsidR="00000000" w:rsidRDefault="00B86CE7">
      <w:pPr>
        <w:spacing w:before="28"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B86CE7">
      <w:pPr>
        <w:rPr>
          <w:rFonts w:ascii="Times New Roman" w:hAnsi="Times New Roman"/>
          <w:sz w:val="28"/>
          <w:szCs w:val="28"/>
        </w:rPr>
      </w:pPr>
    </w:p>
    <w:p w:rsidR="00000000" w:rsidRDefault="00B86CE7">
      <w:pPr>
        <w:rPr>
          <w:rFonts w:ascii="Times New Roman" w:hAnsi="Times New Roman"/>
          <w:sz w:val="28"/>
          <w:szCs w:val="28"/>
        </w:rPr>
      </w:pPr>
    </w:p>
    <w:p w:rsidR="00000000" w:rsidRDefault="00B86CE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000000" w:rsidRDefault="00B86C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энциклопедия развития и обучения дошкольника</w:t>
      </w:r>
      <w:r>
        <w:rPr>
          <w:rFonts w:ascii="Times New Roman" w:hAnsi="Times New Roman"/>
          <w:sz w:val="28"/>
          <w:szCs w:val="28"/>
        </w:rPr>
        <w:t>/ Гаврина С.Е., Кутявина Н.Л., Топоркова И.Г., Щербинина С.В.- М.: АСТ: Астрель, 2008. - 240 с.</w:t>
      </w:r>
    </w:p>
    <w:p w:rsidR="00000000" w:rsidRDefault="00B86C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образовательном процессе: Методическое пособие/ Ермолаева М.Г. - 2-е изд., доп. - Спб.:СПб АППО, 2005. - 112 с.</w:t>
      </w:r>
    </w:p>
    <w:p w:rsidR="00000000" w:rsidRDefault="00B86C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Кукушкин В.С., Теория и методика обучения</w:t>
      </w:r>
      <w:r>
        <w:rPr>
          <w:rFonts w:ascii="Times New Roman" w:hAnsi="Times New Roman"/>
          <w:sz w:val="28"/>
          <w:szCs w:val="28"/>
        </w:rPr>
        <w:t>. - М., Феникс, 2006. - 202 с.</w:t>
      </w:r>
    </w:p>
    <w:p w:rsidR="00000000" w:rsidRDefault="00B86C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технологии / Под ред. Кукушкина В.С. - Ростов на Дону, 2002. - 336 с.</w:t>
      </w:r>
    </w:p>
    <w:p w:rsidR="00000000" w:rsidRDefault="00B86C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Минич О.А. Хаткевич О.А. Педагогические игры. - М., 2005.</w:t>
      </w:r>
    </w:p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/>
      </w:tblPr>
      <w:tblGrid/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tbl>
            <w:tblPr>
              <w:tblW w:w="0" w:type="nil"/>
              <w:tblInd w:w="0" w:type="nil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796"/>
            </w:tblGrid>
            <w:tr w:rsidR="00000000">
              <w:tc>
                <w:tcPr>
                  <w:shd w:val="clear" w:color="auto" w:fill="auto"/>
                </w:tcPr>
                <w:p w:rsidR="00000000" w:rsidRDefault="00B86CE7">
                  <w:pPr>
                    <w:pStyle w:val="ad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</w:tc>
      </w:tr>
    </w:tbl>
    <w:p w:rsidR="00000000" w:rsidRDefault="00B86CE7">
      <w:pPr>
        <w:tabs>
          <w:tab w:val="left" w:pos="567"/>
        </w:tabs>
        <w:spacing w:line="360" w:lineRule="auto"/>
      </w:pPr>
    </w:p>
    <w:p w:rsidR="00000000" w:rsidRDefault="00B86CE7">
      <w:pPr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000000" w:rsidRDefault="00B86CE7">
      <w:pPr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000000" w:rsidRDefault="00B86CE7">
      <w:pPr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000000" w:rsidRDefault="00B86CE7">
      <w:pPr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000000" w:rsidRDefault="00B86CE7">
      <w:pPr>
        <w:jc w:val="center"/>
      </w:pPr>
    </w:p>
    <w:p w:rsidR="00000000" w:rsidRDefault="00B86CE7">
      <w:pPr>
        <w:jc w:val="center"/>
      </w:pPr>
    </w:p>
    <w:p w:rsidR="00000000" w:rsidRDefault="00B86CE7">
      <w:pPr>
        <w:jc w:val="center"/>
      </w:pPr>
    </w:p>
    <w:p w:rsidR="00000000" w:rsidRDefault="00B86CE7">
      <w:pPr>
        <w:jc w:val="right"/>
        <w:rPr>
          <w:sz w:val="28"/>
          <w:szCs w:val="28"/>
        </w:rPr>
      </w:pPr>
    </w:p>
    <w:p w:rsidR="00000000" w:rsidRDefault="00B86CE7">
      <w:pPr>
        <w:jc w:val="right"/>
        <w:rPr>
          <w:sz w:val="28"/>
          <w:szCs w:val="28"/>
        </w:rPr>
      </w:pPr>
    </w:p>
    <w:p w:rsidR="00000000" w:rsidRDefault="00B86CE7">
      <w:pPr>
        <w:jc w:val="right"/>
        <w:rPr>
          <w:sz w:val="28"/>
          <w:szCs w:val="28"/>
        </w:rPr>
      </w:pPr>
    </w:p>
    <w:p w:rsidR="00B86CE7" w:rsidRDefault="00B86CE7">
      <w:pPr>
        <w:jc w:val="center"/>
      </w:pPr>
    </w:p>
    <w:sectPr w:rsidR="00B86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5" w:right="850" w:bottom="1410" w:left="1260" w:header="719" w:footer="1134" w:gutter="0"/>
      <w:pgNumType w:start="1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E7" w:rsidRDefault="00B86CE7">
      <w:pPr>
        <w:spacing w:after="0" w:line="240" w:lineRule="auto"/>
      </w:pPr>
      <w:r>
        <w:separator/>
      </w:r>
    </w:p>
  </w:endnote>
  <w:endnote w:type="continuationSeparator" w:id="1">
    <w:p w:rsidR="00B86CE7" w:rsidRDefault="00B8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E7" w:rsidRDefault="00B86CE7">
      <w:pPr>
        <w:spacing w:after="0" w:line="240" w:lineRule="auto"/>
      </w:pPr>
      <w:r>
        <w:separator/>
      </w:r>
    </w:p>
  </w:footnote>
  <w:footnote w:type="continuationSeparator" w:id="1">
    <w:p w:rsidR="00B86CE7" w:rsidRDefault="00B8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>
    <w:pPr>
      <w:pStyle w:val="a0"/>
      <w:tabs>
        <w:tab w:val="left" w:pos="0"/>
      </w:tabs>
      <w:jc w:val="center"/>
      <w:rPr>
        <w:b/>
        <w:bCs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>
    <w:pPr>
      <w:pStyle w:val="a0"/>
      <w:tabs>
        <w:tab w:val="left" w:pos="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C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605C7"/>
    <w:rsid w:val="006605C7"/>
    <w:rsid w:val="00B8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84"/>
      <w:kern w:val="1"/>
      <w:sz w:val="22"/>
      <w:szCs w:val="22"/>
      <w:lang w:eastAsia="ar-SA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" w:after="28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styleId="a5">
    <w:name w:val="Strong"/>
    <w:basedOn w:val="DefaultParagraphFont"/>
    <w:qFormat/>
    <w:rPr>
      <w:b/>
      <w:bCs/>
    </w:rPr>
  </w:style>
  <w:style w:type="character" w:customStyle="1" w:styleId="a6">
    <w:name w:val="Текст выноски Знак"/>
    <w:basedOn w:val="DefaultParagraphFont"/>
  </w:style>
  <w:style w:type="character" w:customStyle="1" w:styleId="40">
    <w:name w:val="Заголовок 4 Знак"/>
    <w:basedOn w:val="DefaultParagraphFont"/>
  </w:style>
  <w:style w:type="character" w:customStyle="1" w:styleId="a7">
    <w:name w:val="Символ нумерации"/>
    <w:rPr>
      <w:sz w:val="28"/>
      <w:szCs w:val="28"/>
    </w:rPr>
  </w:style>
  <w:style w:type="character" w:customStyle="1" w:styleId="a8">
    <w:name w:val="Нижний колонтитул Знак"/>
    <w:basedOn w:val="1"/>
    <w:rPr>
      <w:rFonts w:ascii="Calibri" w:eastAsia="SimSun" w:hAnsi="Calibri" w:cs="font184"/>
      <w:kern w:val="1"/>
      <w:sz w:val="22"/>
      <w:szCs w:val="22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0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ListParagraph">
    <w:name w:val="List Paragraph"/>
    <w:basedOn w:val="a"/>
  </w:style>
  <w:style w:type="paragraph" w:customStyle="1" w:styleId="NormalWeb">
    <w:name w:val="Normal (Web)"/>
    <w:basedOn w:val="a"/>
  </w:style>
  <w:style w:type="paragraph" w:customStyle="1" w:styleId="BalloonText">
    <w:name w:val="Balloon Text"/>
    <w:basedOn w:val="a"/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Руфия</dc:creator>
  <cp:lastModifiedBy>Руфия</cp:lastModifiedBy>
  <cp:revision>2</cp:revision>
  <cp:lastPrinted>2015-01-25T21:21:00Z</cp:lastPrinted>
  <dcterms:created xsi:type="dcterms:W3CDTF">2016-01-17T23:21:00Z</dcterms:created>
  <dcterms:modified xsi:type="dcterms:W3CDTF">2016-01-17T23:21:00Z</dcterms:modified>
</cp:coreProperties>
</file>