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937C49" w:rsidTr="00340A67">
        <w:tblPrEx>
          <w:tblCellMar>
            <w:top w:w="0" w:type="dxa"/>
            <w:bottom w:w="0" w:type="dxa"/>
          </w:tblCellMar>
        </w:tblPrEx>
        <w:trPr>
          <w:trHeight w:val="14180"/>
        </w:trPr>
        <w:tc>
          <w:tcPr>
            <w:tcW w:w="9923" w:type="dxa"/>
            <w:tcBorders>
              <w:top w:val="double" w:sz="24" w:space="0" w:color="00000A"/>
              <w:left w:val="double" w:sz="24" w:space="0" w:color="00000A"/>
              <w:bottom w:val="double" w:sz="24" w:space="0" w:color="00000A"/>
              <w:right w:val="double" w:sz="2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7C49" w:rsidRDefault="00937C49" w:rsidP="00340A67">
            <w:pPr>
              <w:pStyle w:val="Standard"/>
              <w:jc w:val="center"/>
            </w:pPr>
            <w:r>
              <w:rPr>
                <w:rStyle w:val="a6"/>
                <w:rFonts w:ascii="Comic Sans MS" w:hAnsi="Comic Sans MS"/>
                <w:color w:val="7F7F7F"/>
                <w:sz w:val="32"/>
                <w:szCs w:val="32"/>
              </w:rPr>
              <w:t>Муниципальное бюджетное  общеобразовательное учреждение « Средняя школа №34»</w:t>
            </w:r>
          </w:p>
          <w:p w:rsidR="00937C49" w:rsidRDefault="00937C49" w:rsidP="00340A67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</w:p>
          <w:p w:rsidR="00937C49" w:rsidRDefault="00937C49" w:rsidP="00340A67">
            <w:pPr>
              <w:pStyle w:val="Standard"/>
              <w:jc w:val="center"/>
              <w:rPr>
                <w:rFonts w:ascii="Comic Sans MS" w:hAnsi="Comic Sans MS"/>
                <w:color w:val="7F7F7F"/>
                <w:sz w:val="32"/>
                <w:szCs w:val="32"/>
              </w:rPr>
            </w:pPr>
          </w:p>
          <w:p w:rsidR="00937C49" w:rsidRDefault="00937C49" w:rsidP="00340A67">
            <w:pPr>
              <w:pStyle w:val="Standard"/>
              <w:tabs>
                <w:tab w:val="left" w:pos="655"/>
                <w:tab w:val="center" w:pos="4853"/>
              </w:tabs>
            </w:pPr>
            <w:r>
              <w:rPr>
                <w:rStyle w:val="a6"/>
                <w:color w:val="000000"/>
                <w:sz w:val="28"/>
                <w:szCs w:val="28"/>
              </w:rPr>
              <w:tab/>
            </w:r>
            <w:r>
              <w:rPr>
                <w:rStyle w:val="a6"/>
                <w:color w:val="000000"/>
                <w:sz w:val="28"/>
                <w:szCs w:val="28"/>
              </w:rPr>
              <w:tab/>
              <w:t xml:space="preserve">   </w:t>
            </w:r>
            <w:r>
              <w:rPr>
                <w:rStyle w:val="a6"/>
                <w:b w:val="0"/>
                <w:bCs w:val="0"/>
                <w:noProof/>
                <w:color w:val="000000"/>
                <w:sz w:val="28"/>
                <w:szCs w:val="28"/>
              </w:rPr>
              <w:drawing>
                <wp:inline distT="0" distB="0" distL="0" distR="0" wp14:anchorId="3B7FA78A" wp14:editId="2B4B3F69">
                  <wp:extent cx="1235159" cy="1662479"/>
                  <wp:effectExtent l="0" t="0" r="3091" b="0"/>
                  <wp:docPr id="1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159" cy="166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Style w:val="a6"/>
                <w:b w:val="0"/>
                <w:bCs w:val="0"/>
                <w:noProof/>
                <w:color w:val="000000"/>
                <w:sz w:val="28"/>
                <w:szCs w:val="28"/>
              </w:rPr>
              <w:drawing>
                <wp:inline distT="0" distB="0" distL="0" distR="0" wp14:anchorId="00CC76AA" wp14:editId="3EF1113A">
                  <wp:extent cx="1306080" cy="1662479"/>
                  <wp:effectExtent l="0" t="0" r="8370" b="0"/>
                  <wp:docPr id="2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80" cy="166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C49" w:rsidRDefault="00937C49" w:rsidP="00340A67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</w:p>
          <w:p w:rsidR="00937C49" w:rsidRDefault="00937C49" w:rsidP="00340A67">
            <w:pPr>
              <w:pStyle w:val="ConsPlusNonformat"/>
            </w:pPr>
            <w:r>
              <w:rPr>
                <w:rStyle w:val="a6"/>
                <w:rFonts w:ascii="Comic Sans MS" w:eastAsia="MS Mincho" w:hAnsi="Comic Sans MS" w:cs="Tunga"/>
                <w:color w:val="FF3300"/>
                <w:sz w:val="52"/>
                <w:szCs w:val="52"/>
              </w:rPr>
              <w:t xml:space="preserve">                </w:t>
            </w:r>
            <w:r>
              <w:rPr>
                <w:rStyle w:val="a6"/>
                <w:rFonts w:ascii="Comic Sans MS" w:eastAsia="MS Mincho" w:hAnsi="Comic Sans MS" w:cs="Tunga"/>
                <w:color w:val="365F91"/>
                <w:sz w:val="36"/>
                <w:szCs w:val="36"/>
              </w:rPr>
              <w:t>Программа</w:t>
            </w:r>
          </w:p>
          <w:p w:rsidR="00937C49" w:rsidRDefault="00937C49" w:rsidP="00340A67">
            <w:pPr>
              <w:pStyle w:val="Standard"/>
              <w:jc w:val="center"/>
            </w:pPr>
            <w:r>
              <w:rPr>
                <w:rStyle w:val="a6"/>
                <w:rFonts w:ascii="Comic Sans MS" w:eastAsia="MS Mincho" w:hAnsi="Comic Sans MS" w:cs="Tunga"/>
                <w:color w:val="FF3300"/>
                <w:sz w:val="32"/>
                <w:szCs w:val="32"/>
              </w:rPr>
              <w:t xml:space="preserve">«Допризывная подготовка молодежи в </w:t>
            </w:r>
            <w:r>
              <w:rPr>
                <w:rStyle w:val="a6"/>
                <w:rFonts w:ascii="Comic Sans MS" w:hAnsi="Comic Sans MS"/>
                <w:color w:val="00B050"/>
                <w:sz w:val="32"/>
                <w:szCs w:val="32"/>
              </w:rPr>
              <w:t>муниципальном бюджетном  общеобразовательном учреждении</w:t>
            </w:r>
          </w:p>
          <w:p w:rsidR="00937C49" w:rsidRDefault="00937C49" w:rsidP="00340A67">
            <w:pPr>
              <w:pStyle w:val="Standard"/>
              <w:jc w:val="center"/>
            </w:pPr>
            <w:r>
              <w:rPr>
                <w:rStyle w:val="a6"/>
                <w:rFonts w:ascii="Comic Sans MS" w:hAnsi="Comic Sans MS"/>
                <w:color w:val="00B050"/>
                <w:sz w:val="32"/>
                <w:szCs w:val="32"/>
              </w:rPr>
              <w:t>« Средняя школа №34»</w:t>
            </w:r>
          </w:p>
          <w:p w:rsidR="00937C49" w:rsidRDefault="00937C49" w:rsidP="00340A67">
            <w:pPr>
              <w:pStyle w:val="ConsPlusNonformat"/>
              <w:jc w:val="center"/>
            </w:pPr>
            <w:r>
              <w:rPr>
                <w:rStyle w:val="a6"/>
                <w:rFonts w:ascii="Comic Sans MS" w:eastAsia="MS Mincho" w:hAnsi="Comic Sans MS" w:cs="Tunga"/>
                <w:color w:val="FF3300"/>
                <w:sz w:val="32"/>
                <w:szCs w:val="32"/>
              </w:rPr>
              <w:t>на 2016-2018 годы</w:t>
            </w:r>
          </w:p>
          <w:p w:rsidR="00937C49" w:rsidRDefault="00937C49" w:rsidP="00340A67">
            <w:pPr>
              <w:pStyle w:val="ConsPlusNonformat"/>
              <w:ind w:left="498"/>
              <w:rPr>
                <w:szCs w:val="18"/>
              </w:rPr>
            </w:pPr>
          </w:p>
          <w:p w:rsidR="00937C49" w:rsidRDefault="00937C49" w:rsidP="00340A67">
            <w:pPr>
              <w:pStyle w:val="Standard"/>
              <w:ind w:left="498"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</w:t>
            </w:r>
          </w:p>
          <w:p w:rsidR="00937C49" w:rsidRDefault="00937C49" w:rsidP="00340A67">
            <w:pPr>
              <w:pStyle w:val="Standard"/>
              <w:ind w:left="1349" w:hanging="142"/>
            </w:pPr>
            <w:r>
              <w:rPr>
                <w:noProof/>
              </w:rPr>
              <w:drawing>
                <wp:inline distT="0" distB="0" distL="0" distR="0" wp14:anchorId="412EC420" wp14:editId="3A26CDB3">
                  <wp:extent cx="4429440" cy="3028680"/>
                  <wp:effectExtent l="95250" t="95250" r="104460" b="9552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440" cy="3028680"/>
                          </a:xfrm>
                          <a:prstGeom prst="rect">
                            <a:avLst/>
                          </a:prstGeom>
                          <a:noFill/>
                          <a:ln w="8892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C49" w:rsidRDefault="00937C49" w:rsidP="00340A67">
            <w:pPr>
              <w:pStyle w:val="Standard"/>
              <w:ind w:left="498"/>
              <w:rPr>
                <w:color w:val="000000"/>
                <w:sz w:val="28"/>
                <w:szCs w:val="28"/>
              </w:rPr>
            </w:pPr>
          </w:p>
          <w:p w:rsidR="00937C49" w:rsidRDefault="00937C49" w:rsidP="00340A67">
            <w:pPr>
              <w:pStyle w:val="Standard"/>
              <w:ind w:left="498"/>
              <w:jc w:val="center"/>
            </w:pPr>
            <w:proofErr w:type="spellStart"/>
            <w:r>
              <w:rPr>
                <w:rStyle w:val="a6"/>
                <w:rFonts w:ascii="Comic Sans MS" w:hAnsi="Comic Sans MS"/>
                <w:color w:val="7F7F7F"/>
                <w:sz w:val="32"/>
                <w:szCs w:val="32"/>
              </w:rPr>
              <w:t>г</w:t>
            </w:r>
            <w:proofErr w:type="gramStart"/>
            <w:r>
              <w:rPr>
                <w:rStyle w:val="a6"/>
                <w:rFonts w:ascii="Comic Sans MS" w:hAnsi="Comic Sans MS"/>
                <w:color w:val="7F7F7F"/>
                <w:sz w:val="32"/>
                <w:szCs w:val="32"/>
              </w:rPr>
              <w:t>.Н</w:t>
            </w:r>
            <w:proofErr w:type="gramEnd"/>
            <w:r>
              <w:rPr>
                <w:rStyle w:val="a6"/>
                <w:rFonts w:ascii="Comic Sans MS" w:hAnsi="Comic Sans MS"/>
                <w:color w:val="7F7F7F"/>
                <w:sz w:val="32"/>
                <w:szCs w:val="32"/>
              </w:rPr>
              <w:t>ижневартовск</w:t>
            </w:r>
            <w:proofErr w:type="spellEnd"/>
          </w:p>
        </w:tc>
      </w:tr>
      <w:tr w:rsidR="00937C49" w:rsidTr="00340A6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923" w:type="dxa"/>
            <w:tcBorders>
              <w:top w:val="double" w:sz="24" w:space="0" w:color="00000A"/>
              <w:left w:val="double" w:sz="24" w:space="0" w:color="00000A"/>
              <w:bottom w:val="double" w:sz="24" w:space="0" w:color="00000A"/>
              <w:right w:val="double" w:sz="2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7C49" w:rsidRDefault="00937C49" w:rsidP="00340A67">
            <w:pPr>
              <w:pStyle w:val="Standard"/>
              <w:ind w:left="498"/>
              <w:rPr>
                <w:color w:val="000000"/>
                <w:sz w:val="28"/>
                <w:szCs w:val="28"/>
              </w:rPr>
            </w:pPr>
          </w:p>
          <w:p w:rsidR="00937C49" w:rsidRDefault="00937C49" w:rsidP="00340A67">
            <w:pPr>
              <w:pStyle w:val="Standard"/>
              <w:ind w:left="248" w:right="50"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</w:t>
            </w:r>
            <w:r>
              <w:rPr>
                <w:b/>
                <w:color w:val="548DD4"/>
                <w:sz w:val="28"/>
                <w:szCs w:val="28"/>
              </w:rPr>
              <w:t>Паспорт Программы</w:t>
            </w:r>
          </w:p>
          <w:p w:rsidR="00937C49" w:rsidRDefault="00937C49" w:rsidP="00340A67">
            <w:pPr>
              <w:pStyle w:val="Standard"/>
              <w:ind w:left="248" w:right="5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</w:t>
            </w:r>
          </w:p>
          <w:p w:rsidR="00937C49" w:rsidRDefault="00937C49" w:rsidP="00340A67">
            <w:pPr>
              <w:pStyle w:val="Standard"/>
              <w:ind w:left="248" w:right="5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(Содержание)</w:t>
            </w:r>
          </w:p>
          <w:p w:rsidR="00937C49" w:rsidRDefault="00937C49" w:rsidP="00340A67">
            <w:pPr>
              <w:pStyle w:val="Standard"/>
              <w:ind w:left="248" w:right="50"/>
              <w:rPr>
                <w:b/>
                <w:color w:val="000000"/>
                <w:sz w:val="28"/>
                <w:szCs w:val="28"/>
              </w:rPr>
            </w:pPr>
          </w:p>
          <w:p w:rsidR="00937C49" w:rsidRDefault="00937C49" w:rsidP="00340A67">
            <w:pPr>
              <w:pStyle w:val="Standard"/>
              <w:shd w:val="clear" w:color="auto" w:fill="DBE5F1"/>
              <w:ind w:left="248" w:right="50"/>
            </w:pPr>
            <w:r>
              <w:rPr>
                <w:b/>
                <w:color w:val="000000"/>
                <w:sz w:val="28"/>
                <w:szCs w:val="28"/>
              </w:rPr>
              <w:t>1. Содержание проблемы и обоснование необходимости ее решения программными методами</w:t>
            </w:r>
          </w:p>
          <w:p w:rsidR="00937C49" w:rsidRDefault="00937C49" w:rsidP="00340A67">
            <w:pPr>
              <w:pStyle w:val="Standard"/>
              <w:shd w:val="clear" w:color="auto" w:fill="DBE5F1"/>
              <w:ind w:left="248" w:right="50"/>
            </w:pPr>
            <w:r>
              <w:rPr>
                <w:b/>
                <w:color w:val="000000"/>
                <w:sz w:val="28"/>
                <w:szCs w:val="28"/>
              </w:rPr>
              <w:t>2. Цель и задачи Программы</w:t>
            </w:r>
          </w:p>
          <w:p w:rsidR="00937C49" w:rsidRDefault="00937C49" w:rsidP="00340A67">
            <w:pPr>
              <w:pStyle w:val="Standard"/>
              <w:shd w:val="clear" w:color="auto" w:fill="DBE5F1"/>
              <w:ind w:left="248" w:right="50"/>
            </w:pPr>
            <w:r>
              <w:rPr>
                <w:b/>
                <w:color w:val="000000"/>
                <w:sz w:val="28"/>
                <w:szCs w:val="28"/>
              </w:rPr>
              <w:t>3. Основные направления реализации Программы</w:t>
            </w:r>
          </w:p>
          <w:p w:rsidR="00937C49" w:rsidRDefault="00937C49" w:rsidP="00340A67">
            <w:pPr>
              <w:pStyle w:val="Standard"/>
              <w:shd w:val="clear" w:color="auto" w:fill="DBE5F1"/>
              <w:ind w:left="248" w:right="50"/>
            </w:pPr>
            <w:r>
              <w:rPr>
                <w:b/>
                <w:color w:val="000000"/>
                <w:sz w:val="28"/>
                <w:szCs w:val="28"/>
              </w:rPr>
              <w:t>4. Система программных мероприятий</w:t>
            </w:r>
          </w:p>
          <w:p w:rsidR="00937C49" w:rsidRDefault="00937C49" w:rsidP="00340A67">
            <w:pPr>
              <w:pStyle w:val="Standard"/>
              <w:ind w:left="248" w:right="50"/>
              <w:jc w:val="center"/>
              <w:rPr>
                <w:color w:val="000000"/>
                <w:sz w:val="28"/>
                <w:szCs w:val="28"/>
              </w:rPr>
            </w:pPr>
          </w:p>
          <w:p w:rsidR="00937C49" w:rsidRDefault="00937C49" w:rsidP="00340A67">
            <w:pPr>
              <w:pStyle w:val="Standard"/>
              <w:ind w:left="248" w:right="50"/>
              <w:jc w:val="center"/>
            </w:pPr>
            <w:r>
              <w:rPr>
                <w:b/>
                <w:color w:val="548DD4"/>
                <w:sz w:val="28"/>
                <w:szCs w:val="28"/>
              </w:rPr>
              <w:t>Паспорт Программы</w:t>
            </w:r>
          </w:p>
          <w:p w:rsidR="00937C49" w:rsidRDefault="00937C49" w:rsidP="00340A67">
            <w:pPr>
              <w:pStyle w:val="Standard"/>
              <w:ind w:left="248" w:right="50"/>
              <w:jc w:val="center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W w:w="9568" w:type="dxa"/>
              <w:tblInd w:w="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97"/>
              <w:gridCol w:w="6271"/>
            </w:tblGrid>
            <w:tr w:rsidR="00937C49" w:rsidTr="00340A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7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Наименование Программы</w:t>
                  </w:r>
                </w:p>
              </w:tc>
              <w:tc>
                <w:tcPr>
                  <w:tcW w:w="6270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ConsPlusNonformat"/>
                    <w:widowControl/>
                    <w:tabs>
                      <w:tab w:val="left" w:pos="6116"/>
                    </w:tabs>
                    <w:ind w:left="248" w:right="50"/>
                    <w:jc w:val="both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Программа «Допризывная подготовка молодежи в </w:t>
                  </w:r>
                  <w:r>
                    <w:rPr>
                      <w:rStyle w:val="a6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Муниципальном бюджетном  общеобразовательном учреждении « Средняя школе №34» на 2016-2018 годы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(далее – «программа»)</w:t>
                  </w:r>
                </w:p>
                <w:p w:rsidR="00937C49" w:rsidRDefault="00937C49" w:rsidP="00340A67">
                  <w:pPr>
                    <w:pStyle w:val="ConsPlusNonformat"/>
                    <w:widowControl/>
                    <w:tabs>
                      <w:tab w:val="left" w:pos="6116"/>
                    </w:tabs>
                    <w:ind w:left="248" w:right="5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37C49" w:rsidTr="00340A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7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Основания для разработки Программы</w:t>
                  </w:r>
                </w:p>
              </w:tc>
              <w:tc>
                <w:tcPr>
                  <w:tcW w:w="6270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ConsPlusNonformat"/>
                    <w:tabs>
                      <w:tab w:val="left" w:pos="6116"/>
                    </w:tabs>
                    <w:ind w:left="248" w:right="50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Перечень поручений Президента Российской Федерации по итогам заседания президиума Государственного совета Российской Федерации от 06.05.2009 № Пр-1098ГС, Концепция федеральной системы подготовки граждан Российской Федерации к военной службе на период до 2020 года, утвержденная распоряжением Правительства Российской Федерации от 03.02.2010 № 134-р.</w:t>
                  </w:r>
                </w:p>
                <w:p w:rsidR="00937C49" w:rsidRDefault="00937C49" w:rsidP="00340A67">
                  <w:pPr>
                    <w:pStyle w:val="ConsPlusNonformat"/>
                    <w:tabs>
                      <w:tab w:val="left" w:pos="6116"/>
                    </w:tabs>
                    <w:ind w:left="248" w:right="5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37C49" w:rsidTr="00340A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7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Заказчик Программы</w:t>
                  </w:r>
                </w:p>
              </w:tc>
              <w:tc>
                <w:tcPr>
                  <w:tcW w:w="6270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tabs>
                      <w:tab w:val="left" w:pos="6116"/>
                    </w:tabs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города Нижневартовска</w:t>
                  </w:r>
                </w:p>
                <w:p w:rsidR="00937C49" w:rsidRDefault="00937C49" w:rsidP="00340A67">
                  <w:pPr>
                    <w:pStyle w:val="Standard"/>
                    <w:tabs>
                      <w:tab w:val="left" w:pos="6116"/>
                    </w:tabs>
                    <w:ind w:left="248" w:right="5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37C49" w:rsidTr="00340A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7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Разработчики Программы</w:t>
                  </w:r>
                </w:p>
              </w:tc>
              <w:tc>
                <w:tcPr>
                  <w:tcW w:w="6270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tabs>
                      <w:tab w:val="left" w:pos="6116"/>
                    </w:tabs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Методическое объединение по физической культуре и ОБЖ  МБОУ «СШ№34» , преподаватель-организатор основ безопасности жизнедеятельности МБОУ «СШ№34» Бизин А.В.;</w:t>
                  </w:r>
                </w:p>
                <w:p w:rsidR="00937C49" w:rsidRDefault="00937C49" w:rsidP="00937C49">
                  <w:pPr>
                    <w:pStyle w:val="Standard"/>
                    <w:tabs>
                      <w:tab w:val="left" w:pos="6116"/>
                    </w:tabs>
                    <w:ind w:left="248" w:right="5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Отдел военного комиссариата Ханты-Мансийского автономного Округа-Югры по городу Нижневартовск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Нижневартовскому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району (по согласованию)</w:t>
                  </w:r>
                </w:p>
              </w:tc>
            </w:tr>
            <w:tr w:rsidR="00937C49" w:rsidTr="00340A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7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Основные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исполнители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6270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tabs>
                      <w:tab w:val="left" w:pos="6116"/>
                    </w:tabs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rStyle w:val="a6"/>
                      <w:color w:val="000000"/>
                      <w:sz w:val="28"/>
                      <w:szCs w:val="28"/>
                    </w:rPr>
                    <w:t>Муниципального бюджетного  общеобразовательного учреждения « Средняя школа №34»</w:t>
                  </w:r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937C49" w:rsidRDefault="00937C49" w:rsidP="00340A67">
                  <w:pPr>
                    <w:pStyle w:val="Standard"/>
                    <w:tabs>
                      <w:tab w:val="left" w:pos="6116"/>
                    </w:tabs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Отдел военного комиссариата Ханты-Мансийского автономного Округа-Югры по городу Нижневартовск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Нижневартовскому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району (далее Отдел ВК ХМАО-Югры  по городу Нижневартовск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Нижневартовскому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району) (по согласованию);</w:t>
                  </w:r>
                </w:p>
                <w:p w:rsidR="00937C49" w:rsidRDefault="00937C49" w:rsidP="00340A67">
                  <w:pPr>
                    <w:pStyle w:val="Standard"/>
                    <w:tabs>
                      <w:tab w:val="left" w:pos="6116"/>
                    </w:tabs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Департамент образования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.Н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ижневартовска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937C49" w:rsidRDefault="00937C49" w:rsidP="00340A67">
                  <w:pPr>
                    <w:pStyle w:val="Standard"/>
                    <w:tabs>
                      <w:tab w:val="left" w:pos="6116"/>
                    </w:tabs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Центр детского и юношеского технического творчества (далее - ЦД и ЮТТ) (по согласованию);</w:t>
                  </w:r>
                </w:p>
                <w:p w:rsidR="00937C49" w:rsidRDefault="00937C49" w:rsidP="00340A67">
                  <w:pPr>
                    <w:pStyle w:val="Standard"/>
                    <w:tabs>
                      <w:tab w:val="left" w:pos="6116"/>
                    </w:tabs>
                    <w:ind w:left="248" w:right="50"/>
                    <w:jc w:val="both"/>
                  </w:pPr>
                  <w:r>
                    <w:rPr>
                      <w:sz w:val="28"/>
                      <w:szCs w:val="28"/>
                    </w:rPr>
                    <w:t>Общероссийская общественная организация «Российская оборонная спортивно-техническая организация РОСТО (ДОСААФ)» (далее - «РОСТО (ДОСААФ)»)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.Н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ижневартовске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937C49" w:rsidRDefault="00937C49" w:rsidP="00340A67">
                  <w:pPr>
                    <w:pStyle w:val="Standard"/>
                    <w:tabs>
                      <w:tab w:val="left" w:pos="6116"/>
                    </w:tabs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Городской  совет ветеранов войны, труда, Вооруженных сил и правоохранительных органов (далее городской совет ветеранов) (по согласованию).</w:t>
                  </w:r>
                </w:p>
              </w:tc>
            </w:tr>
            <w:tr w:rsidR="00937C49" w:rsidTr="00340A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7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Цель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6270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Реализация в </w:t>
                  </w:r>
                  <w:r>
                    <w:rPr>
                      <w:rStyle w:val="a6"/>
                      <w:color w:val="000000"/>
                      <w:sz w:val="28"/>
                      <w:szCs w:val="28"/>
                    </w:rPr>
                    <w:t xml:space="preserve">Муниципальном бюджетном  общеобразовательном учреждении « Средняя школе №34» </w:t>
                  </w:r>
                  <w:r>
                    <w:rPr>
                      <w:color w:val="000000"/>
                      <w:sz w:val="28"/>
                      <w:szCs w:val="28"/>
                    </w:rPr>
                    <w:t>государственной политики в области подготовки граждан Российской Федерации к военной службе;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создание в </w:t>
                  </w:r>
                  <w:r>
                    <w:rPr>
                      <w:rStyle w:val="a6"/>
                      <w:color w:val="000000"/>
                      <w:sz w:val="28"/>
                      <w:szCs w:val="28"/>
                    </w:rPr>
                    <w:t xml:space="preserve">Муниципальном бюджетном  общеобразовательном учреждении « </w:t>
                  </w:r>
                  <w:proofErr w:type="gramStart"/>
                  <w:r>
                    <w:rPr>
                      <w:rStyle w:val="a6"/>
                      <w:color w:val="000000"/>
                      <w:sz w:val="28"/>
                      <w:szCs w:val="28"/>
                    </w:rPr>
                    <w:t>Средняя</w:t>
                  </w:r>
                  <w:proofErr w:type="gramEnd"/>
                  <w:r>
                    <w:rPr>
                      <w:rStyle w:val="a6"/>
                      <w:color w:val="000000"/>
                      <w:sz w:val="28"/>
                      <w:szCs w:val="28"/>
                    </w:rPr>
                    <w:t xml:space="preserve"> школе №34» </w:t>
                  </w:r>
                  <w:r>
                    <w:rPr>
                      <w:sz w:val="28"/>
                      <w:szCs w:val="28"/>
                    </w:rPr>
                    <w:t>условий для устойчивого развития системы допризывной подготовки граждан, обучающихся в школе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sz w:val="28"/>
                      <w:szCs w:val="28"/>
                    </w:rPr>
                    <w:t>формирование патриотического сознания, готовности к службе в рядах Вооруженных Сил Российской Федерации.</w:t>
                  </w:r>
                </w:p>
              </w:tc>
            </w:tr>
            <w:tr w:rsidR="00937C49" w:rsidTr="00340A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7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Задачи Программы</w:t>
                  </w:r>
                </w:p>
              </w:tc>
              <w:tc>
                <w:tcPr>
                  <w:tcW w:w="6270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Сформировать комплекс нормативно-правового, организационно-методического, материально-технического обеспечения системы допризывной подготовки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6"/>
                      <w:color w:val="000000"/>
                      <w:sz w:val="28"/>
                      <w:szCs w:val="28"/>
                    </w:rPr>
                    <w:t>общеобразовательного учреждения;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дать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обучающимся </w:t>
                  </w:r>
                  <w:r>
                    <w:rPr>
                      <w:rStyle w:val="a6"/>
                      <w:color w:val="000000"/>
                      <w:sz w:val="28"/>
                      <w:szCs w:val="28"/>
                    </w:rPr>
                    <w:t>общеобразовательного учреждения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начальные знания в области обороны, подготовить  юношей к  военной службе;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формировать у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морально-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психологические и физические качества, необходимые для прохождения военной службы;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воспитывать патриотизм, уважение к историческому и культурному прошлому России и Вооруженным Силам Российской Федерации;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sz w:val="28"/>
                      <w:szCs w:val="28"/>
                    </w:rPr>
                    <w:t>пропагандировать и популяризировать службу в Вооруженных Силах Российской Федерации;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sz w:val="28"/>
                      <w:szCs w:val="28"/>
                    </w:rPr>
                    <w:t>развивать в образовательном учреждении объединение, обеспечивающее техническую подготовку и проведение занятий с обучающимися военно-прикладными и техническими видами спорта;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изучить с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основные положения законодательства Российской Федерации в области обороны государства,  воинской обязанности и воинского учета, об обязательной и добровольной подготовке к военной службе, прохождении военной службы по призыву и в добровольном порядке (по контракту), пребывании в запасе, правах, обязанностях и ответственности военнослужащих и граждан, находящихся в запасе;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практически закрепить полученные знания в ходе проведения учебных сборов;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ориентировать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на овладение военно-учетными специальностями и выбор профессии офицера;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sz w:val="28"/>
                      <w:szCs w:val="28"/>
                    </w:rPr>
                    <w:t>развивать и совершенствовать школьный курс «Основы безопасности жизнедеятельности» и его раздел «Основы военной службы»;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bCs/>
                      <w:sz w:val="28"/>
                      <w:szCs w:val="28"/>
                    </w:rPr>
                    <w:t>пропагандировать физическую культуру и спорт, здоровый образ жизни.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37C49" w:rsidTr="00340A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7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Важнейшие целевые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индикаторы и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показатели Программы</w:t>
                  </w:r>
                </w:p>
              </w:tc>
              <w:tc>
                <w:tcPr>
                  <w:tcW w:w="6270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Укрепление материально-технической базы </w:t>
                  </w:r>
                  <w:r>
                    <w:rPr>
                      <w:rStyle w:val="a6"/>
                      <w:color w:val="000000"/>
                      <w:sz w:val="28"/>
                      <w:szCs w:val="28"/>
                    </w:rPr>
                    <w:t xml:space="preserve">Муниципальном бюджетном  общеобразовательном учреждении « </w:t>
                  </w:r>
                  <w:proofErr w:type="gramStart"/>
                  <w:r>
                    <w:rPr>
                      <w:rStyle w:val="a6"/>
                      <w:color w:val="000000"/>
                      <w:sz w:val="28"/>
                      <w:szCs w:val="28"/>
                    </w:rPr>
                    <w:t>Средняя</w:t>
                  </w:r>
                  <w:proofErr w:type="gramEnd"/>
                  <w:r>
                    <w:rPr>
                      <w:rStyle w:val="a6"/>
                      <w:color w:val="000000"/>
                      <w:sz w:val="28"/>
                      <w:szCs w:val="28"/>
                    </w:rPr>
                    <w:t xml:space="preserve"> школе №34»</w:t>
                  </w:r>
                  <w:r>
                    <w:rPr>
                      <w:color w:val="000000"/>
                      <w:sz w:val="28"/>
                      <w:szCs w:val="28"/>
                    </w:rPr>
                    <w:t>, участвующей в подготовке граждан к военной службе;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повышение качества подготовки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по основам военной службы;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sz w:val="28"/>
                      <w:szCs w:val="28"/>
                    </w:rPr>
                    <w:t>доля граждан допризывного возраста, прошедших допризывную подготовку в центрах  (ЦД и ЮТТ);</w:t>
                  </w:r>
                </w:p>
                <w:p w:rsidR="00937C49" w:rsidRDefault="00937C49" w:rsidP="00340A67">
                  <w:pPr>
                    <w:pStyle w:val="ConsPlusNonformat"/>
                    <w:widowControl/>
                    <w:ind w:left="248" w:right="50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доля юношей, прошедших учебно-тренировочные сборы, от общего количества юношей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обучащихся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общеобразовательного учреждения;</w:t>
                  </w:r>
                </w:p>
                <w:p w:rsidR="00937C49" w:rsidRDefault="00937C49" w:rsidP="00340A67">
                  <w:pPr>
                    <w:pStyle w:val="ConsPlusNonformat"/>
                    <w:widowControl/>
                    <w:ind w:left="248" w:right="50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граждан допризывного возраста, прошедших подготовку по военно-учетным специальностям в учреждениях Общероссийской общественной организации «Российская оборонная спортивно-техническая организация РОСТО (ДОСААФ)», от общего числа граждан допризывного возраста;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sz w:val="28"/>
                      <w:szCs w:val="28"/>
                    </w:rPr>
                    <w:t>доля граждан допризывного возраста, участвующих в спортивных соревнованиях, от общего числа граждан допризывного возраста;</w:t>
                  </w:r>
                </w:p>
                <w:p w:rsidR="00937C49" w:rsidRDefault="00937C49" w:rsidP="00340A67">
                  <w:pPr>
                    <w:pStyle w:val="ConsPlusNonformat"/>
                    <w:widowControl/>
                    <w:ind w:left="248" w:right="50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доля граждан допризывного возраста, прошедших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диспансеризацию, от общего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числа граждан допризывного возраста;</w:t>
                  </w:r>
                </w:p>
                <w:p w:rsidR="00937C49" w:rsidRDefault="00937C49" w:rsidP="00340A67">
                  <w:pPr>
                    <w:pStyle w:val="ConsPlusNonformat"/>
                    <w:widowControl/>
                    <w:ind w:left="248" w:right="50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военно-патриотических, военно-спортивных клубов в образовательном учреждении.</w:t>
                  </w:r>
                </w:p>
                <w:p w:rsidR="00937C49" w:rsidRDefault="00937C49" w:rsidP="00340A67">
                  <w:pPr>
                    <w:pStyle w:val="ConsPlusNonformat"/>
                    <w:widowControl/>
                    <w:ind w:left="248" w:right="5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37C49" w:rsidTr="00340A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7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Сроки реализации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6270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color w:val="000000"/>
                      <w:sz w:val="28"/>
                      <w:szCs w:val="28"/>
                    </w:rPr>
                    <w:t>2016-2018 годы</w:t>
                  </w:r>
                </w:p>
              </w:tc>
            </w:tr>
            <w:tr w:rsidR="00937C49" w:rsidTr="00340A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7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Источники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финансирования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6270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Финансирование мероприятий осуществляется в пределах смет расходов, предусмотренных на обеспечение функций соответствующих учреждений, организаций, являющихся исполнителями мероприятий  Программы.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37C49" w:rsidTr="00340A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7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Ожидаемые результаты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реализации Программы</w:t>
                  </w:r>
                </w:p>
              </w:tc>
              <w:tc>
                <w:tcPr>
                  <w:tcW w:w="6270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ConsPlusNonformat"/>
                    <w:widowControl/>
                    <w:ind w:left="248" w:right="50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и функционирование эффективной системы допризывной подготовки граждан;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Повышение качества освоения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учебной программы по основам военной службы;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улучшение физического здоровья и повышение духовно-нравственного потенциала молодежи призывного возраста;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повышение эффективности военно-патриотического воспитания молодежи;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повышение уровня развития военно-прикладных видов спорта;</w:t>
                  </w:r>
                </w:p>
                <w:p w:rsidR="00937C49" w:rsidRDefault="00937C49" w:rsidP="00340A67">
                  <w:pPr>
                    <w:pStyle w:val="ConsPlusNonformat"/>
                    <w:widowControl/>
                    <w:ind w:left="248" w:right="50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к 2018 году  военно-спортивного и военно-патриотического клубов;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привлечение детей и молодежи к обучению массовым техническим профессиям, имеющим военно-прикладное значение</w:t>
                  </w:r>
                </w:p>
                <w:p w:rsidR="00937C49" w:rsidRDefault="00937C49" w:rsidP="00340A67">
                  <w:pPr>
                    <w:pStyle w:val="ConsPlusNonformat"/>
                    <w:widowControl/>
                    <w:ind w:left="248" w:right="50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увеличение к концу 2018 года доли граждан допризывного возраста, прошедших подготовку в центрах допризывной подготовки молодежи, до 20 %.</w:t>
                  </w:r>
                </w:p>
                <w:p w:rsidR="00937C49" w:rsidRDefault="00937C49" w:rsidP="00340A67">
                  <w:pPr>
                    <w:pStyle w:val="Standard"/>
                    <w:ind w:left="248" w:right="5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37C49" w:rsidTr="00340A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7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 xml:space="preserve">Система контроля </w:t>
                  </w:r>
                  <w:proofErr w:type="gramStart"/>
                  <w:r>
                    <w:rPr>
                      <w:b/>
                      <w:color w:val="000000"/>
                      <w:sz w:val="28"/>
                      <w:szCs w:val="28"/>
                    </w:rPr>
                    <w:t>за</w:t>
                  </w:r>
                  <w:proofErr w:type="gramEnd"/>
                </w:p>
                <w:p w:rsidR="00937C49" w:rsidRDefault="00937C49" w:rsidP="00340A67">
                  <w:pPr>
                    <w:pStyle w:val="Standard"/>
                    <w:ind w:left="248" w:right="50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реализацией Программы</w:t>
                  </w:r>
                </w:p>
              </w:tc>
              <w:tc>
                <w:tcPr>
                  <w:tcW w:w="6270" w:type="dxa"/>
                  <w:tcBorders>
                    <w:top w:val="outset" w:sz="18" w:space="0" w:color="00000A"/>
                    <w:left w:val="outset" w:sz="18" w:space="0" w:color="00000A"/>
                    <w:bottom w:val="outset" w:sz="18" w:space="0" w:color="00000A"/>
                    <w:right w:val="outset" w:sz="1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C49" w:rsidRDefault="00937C49" w:rsidP="00340A67">
                  <w:pPr>
                    <w:pStyle w:val="Standard"/>
                    <w:tabs>
                      <w:tab w:val="left" w:pos="6116"/>
                    </w:tabs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Общее руководство 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контроль за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реализацией мероприятий Программы осуществляет Администрация </w:t>
                  </w:r>
                  <w:r>
                    <w:rPr>
                      <w:rStyle w:val="a6"/>
                      <w:color w:val="000000"/>
                      <w:sz w:val="28"/>
                      <w:szCs w:val="28"/>
                    </w:rPr>
                    <w:t>Муниципального бюджетного  общеобразовательного учреждения « Средняя школа №34»</w:t>
                  </w:r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937C49" w:rsidRDefault="00937C49" w:rsidP="00340A67">
                  <w:pPr>
                    <w:pStyle w:val="Standard"/>
                    <w:tabs>
                      <w:tab w:val="left" w:pos="6107"/>
                    </w:tabs>
                    <w:ind w:left="248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Отдел военного комиссариата Ханты-Мансийского автономного Округа-Югры по городу Нижневартовск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Нижневартовскому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району;</w:t>
                  </w:r>
                </w:p>
                <w:p w:rsidR="00937C49" w:rsidRDefault="00937C49" w:rsidP="00340A67">
                  <w:pPr>
                    <w:pStyle w:val="Standard"/>
                    <w:tabs>
                      <w:tab w:val="left" w:pos="6116"/>
                    </w:tabs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Департамент образования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.Н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ижневартовска</w:t>
                  </w:r>
                  <w:proofErr w:type="spellEnd"/>
                </w:p>
                <w:p w:rsidR="00937C49" w:rsidRDefault="00937C49" w:rsidP="00340A67">
                  <w:pPr>
                    <w:pStyle w:val="Standard"/>
                    <w:tabs>
                      <w:tab w:val="left" w:pos="6116"/>
                    </w:tabs>
                    <w:ind w:left="248" w:right="50"/>
                  </w:pPr>
                  <w:r>
                    <w:rPr>
                      <w:b/>
                      <w:sz w:val="28"/>
                      <w:szCs w:val="28"/>
                    </w:rPr>
                    <w:t>Координация Программы.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br/>
                    <w:t xml:space="preserve">Координацию Программы осуществляют: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color w:val="000000"/>
                      <w:sz w:val="28"/>
                      <w:szCs w:val="28"/>
                    </w:rPr>
                    <w:t>Центр детского и юношеского технического творчества (далее - ЦД и ЮТТ);</w:t>
                  </w:r>
                </w:p>
                <w:p w:rsidR="00937C49" w:rsidRDefault="00937C49" w:rsidP="00340A67">
                  <w:pPr>
                    <w:pStyle w:val="Standard"/>
                    <w:tabs>
                      <w:tab w:val="left" w:pos="6116"/>
                    </w:tabs>
                    <w:ind w:left="248" w:right="50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Общероссийская общественная организация «Российская оборонная спортивно-техническая организация РОСТО (ДОСААФ)»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.Н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ижневартовске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937C49" w:rsidRDefault="00937C49" w:rsidP="00340A67">
                  <w:pPr>
                    <w:pStyle w:val="Standard"/>
                    <w:tabs>
                      <w:tab w:val="left" w:pos="6116"/>
                    </w:tabs>
                    <w:ind w:left="248" w:right="50"/>
                  </w:pPr>
                  <w:r>
                    <w:rPr>
                      <w:sz w:val="28"/>
                      <w:szCs w:val="28"/>
                    </w:rPr>
                    <w:t xml:space="preserve"> Управление по социальной и молодёжной политике администрации в </w:t>
                  </w:r>
                  <w:proofErr w:type="spellStart"/>
                  <w:r>
                    <w:rPr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sz w:val="28"/>
                      <w:szCs w:val="28"/>
                    </w:rPr>
                    <w:t>.Н</w:t>
                  </w:r>
                  <w:proofErr w:type="gramEnd"/>
                  <w:r>
                    <w:rPr>
                      <w:sz w:val="28"/>
                      <w:szCs w:val="28"/>
                    </w:rPr>
                    <w:t>ижневартовске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937C49" w:rsidRDefault="00937C49" w:rsidP="00340A67">
                  <w:pPr>
                    <w:pStyle w:val="Standard"/>
                    <w:tabs>
                      <w:tab w:val="left" w:pos="6116"/>
                    </w:tabs>
                    <w:ind w:left="248" w:right="5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37C49" w:rsidRDefault="00937C49" w:rsidP="00340A67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</w:p>
          <w:p w:rsidR="00937C49" w:rsidRDefault="00937C49" w:rsidP="00340A67">
            <w:pPr>
              <w:pStyle w:val="Standard"/>
              <w:jc w:val="center"/>
            </w:pPr>
            <w:r>
              <w:rPr>
                <w:rFonts w:ascii="Comic Sans MS" w:hAnsi="Comic Sans MS"/>
                <w:b/>
                <w:color w:val="365F91"/>
                <w:sz w:val="28"/>
                <w:szCs w:val="28"/>
              </w:rPr>
              <w:t>1. Содержание проблемы и обоснование необходимости ее решения программными методами</w:t>
            </w:r>
          </w:p>
          <w:p w:rsidR="00937C49" w:rsidRDefault="00937C49" w:rsidP="00340A67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      Переход к новому облику Вооруженных Сил Российской Федерации поставил перед органами государственной власти, образовательными учреждениями и общественными организациями задачу качественного совершенствования системы допризывной подготовки, военно-патриотического воспитания молодежи.</w:t>
            </w:r>
          </w:p>
          <w:p w:rsidR="00937C49" w:rsidRDefault="00937C49" w:rsidP="00340A67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     На современном этапе изменяются требования к призывникам, которые должны быть способны с первых дней службы в частях и соединениях постоянной боевой готовности решать поставленные задачи.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В системе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color w:val="000000"/>
                <w:sz w:val="28"/>
                <w:szCs w:val="28"/>
              </w:rPr>
              <w:t>ижневартовска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подготовка к военной службе обучающихся в общеобразовательных учреждениях и учреждении начального профессионального образования проводится в процессе преподавания курса </w:t>
            </w:r>
            <w:r>
              <w:rPr>
                <w:color w:val="000000"/>
                <w:sz w:val="28"/>
                <w:szCs w:val="28"/>
              </w:rPr>
              <w:lastRenderedPageBreak/>
              <w:t>«Основы безопасности жизнедеятельности» в соответствии с разделом «Основы военной службы» учебной программы.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 w:val="28"/>
                <w:szCs w:val="28"/>
              </w:rPr>
              <w:t>Указанные программы в целом отражают государственную образовательную политику в вопросах воспитания и формирования у обучающихся сознательного отношения к имеющимся проблемам личной и общественной безопасности и</w:t>
            </w:r>
            <w:proofErr w:type="gramEnd"/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обеспечивают приобретение специальных знаний, умений, навыков, которые позволяют повысить уровень готовности призывника к военной службе.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Вне образовательных учреждений деятельность по военно-патриотическому воспитанию детей и молодежи, подготовке юношей к службе в армии проводят учреждения дополнительного образования и комитет по делам молодежи, кружки, а также общественно-государственные и общественные организации, такие как Местное отделение ДОСААФ России </w:t>
            </w: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color w:val="000000"/>
                <w:sz w:val="28"/>
                <w:szCs w:val="28"/>
              </w:rPr>
              <w:t>ижневартовска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городской совет ветеранов, Отдел военного комиссариата Ханты-Мансийского автономного Округа-Югры по городу Нижневартовск и </w:t>
            </w:r>
            <w:proofErr w:type="spellStart"/>
            <w:r>
              <w:rPr>
                <w:color w:val="000000"/>
                <w:sz w:val="28"/>
                <w:szCs w:val="28"/>
              </w:rPr>
              <w:t>Нижневартовскому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району и другие.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proofErr w:type="gramStart"/>
            <w:r>
              <w:rPr>
                <w:color w:val="000000"/>
                <w:sz w:val="28"/>
                <w:szCs w:val="28"/>
              </w:rPr>
              <w:t>В связи с изменениями, внесенными приказом Министерства образования и науки Российской Федерации от 20 августа 2008 года № 241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объем учебного времени, отведенный на изучение раздела «Основы военной службы», с 2010-2011 учебного года сокращен в два раза.</w:t>
            </w:r>
            <w:proofErr w:type="gramEnd"/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Кроме того, сокращен с 40 до 35 учебных часов объем учебного времени, отведенный на формирование у обучающихся практических навыков по основам военной службы в период проведения с ними пятидневных учебных сборов.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За последние 4 года снизился уровень развития учебно-материальной базы образовательных учреждений, в которых осуществляется подготовка по основам военной службы, с 89% в 2010-2011 учебном году до 86,4% в 2012-2013 учебном году.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В целях подготовки обучающихся к выполнению упражнения начальных стрельб из автомата Калашникова в период проведения учебных сборов образовательные учреждения должны иметь возможность практических занятий по стрельбе из огнестрельного оружия на базе воинских частей, которые к сожалению 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color w:val="000000"/>
                <w:sz w:val="28"/>
                <w:szCs w:val="28"/>
              </w:rPr>
              <w:t>ижневартовска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отсутствуют.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Снижение  количества макетов массогабаритного автомата Калашникова, а также других наглядных пособий обусловлено окончанием сроков их использования, поломкой  и сокращением числа вновь приобретаемых указанных средств обучения. Ухудшился показатель обеспеченности образовательных учреждений преподавателями, осуществляющими подготовку по основам военной службы. Безусловно, сложившаяся отрицательная динамика не может не сказываться на качестве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 основам военной службы.</w:t>
            </w:r>
          </w:p>
          <w:p w:rsidR="00937C49" w:rsidRDefault="00937C49" w:rsidP="00340A67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 xml:space="preserve">     Одним из основных этапов подготовки учащейся молодежи к военной службе является получение ими практических навыков на занятиях в период проведения пятидневных учебных сборов.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Регрессивный тип возрастной структуры населения ведет к уменьшению числа подростков. Общее число детей в возрасте до 18 лет в России, сократилось за </w:t>
            </w:r>
            <w:proofErr w:type="gramStart"/>
            <w:r>
              <w:rPr>
                <w:color w:val="000000"/>
                <w:sz w:val="28"/>
                <w:szCs w:val="28"/>
              </w:rPr>
              <w:t>последние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3 года почти на 95 тыс. человек. Общая заболеваемость подростков 15-17 лет выросла. Продолжается рост впервые выявленной заболеваемости. </w:t>
            </w:r>
            <w:proofErr w:type="gramStart"/>
            <w:r>
              <w:rPr>
                <w:color w:val="000000"/>
                <w:sz w:val="28"/>
                <w:szCs w:val="28"/>
              </w:rPr>
              <w:t>За последние 4 года данный показатель вырос среди детей до 14 лет почти на 19%. В связи с ухудшением состояния здоровья граждан показатель их годности к военной службе при первичной постановке на воинский учет в 2012 году снизился</w:t>
            </w:r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Сложившаяся в настоящее время ситуация в сфере подготовки граждан к военной службе характеризуется рядом негативных факторов, основные из которых: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отсутствие осознанной мотивации к прохождению военной службы;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уменьшение объема учебного времени на подготовку граждан основам военной  службы в образовательных учреждениях;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несоответствие современным требованиям учебно-материальной базы в образовательных учреждениях, недостаточная обеспеченность учебными пособиями, методическими разработками, современными техническими средствами обучения;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неудовлетворительные показатели состояния здоровья и физического развития большей части граждан, подлежащих призыву на военную службу;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отсутствие единого перечня требований к физической, психологической и интеллектуальной подготовленности гражданина к военной службе;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недостаточное развитие военно-прикладных видов спорта.</w:t>
            </w:r>
          </w:p>
          <w:p w:rsidR="00937C49" w:rsidRDefault="00937C49" w:rsidP="00340A67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 xml:space="preserve">   Базовым фактором, определяющим способность гражданина проходить военную службу, является состояние его интеллектуального, физического развития и здоровья.</w:t>
            </w:r>
          </w:p>
          <w:p w:rsidR="00937C49" w:rsidRDefault="00937C49" w:rsidP="00340A67">
            <w:pPr>
              <w:pStyle w:val="Standard"/>
              <w:rPr>
                <w:color w:val="000000"/>
                <w:sz w:val="28"/>
                <w:szCs w:val="28"/>
              </w:rPr>
            </w:pPr>
          </w:p>
          <w:p w:rsidR="00937C49" w:rsidRDefault="00937C49" w:rsidP="00340A67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Реализация мероприятий Программы позволит:</w:t>
            </w:r>
          </w:p>
          <w:p w:rsidR="00937C49" w:rsidRDefault="00937C49" w:rsidP="00340A67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>модернизировать сложившуюся систему подготовки граждан к военной службе;</w:t>
            </w:r>
          </w:p>
          <w:p w:rsidR="00937C49" w:rsidRDefault="00937C49" w:rsidP="00340A67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>снизить количество граждан, уклоняющихся от призыва в Вооруженные Силы Российской Федерации;</w:t>
            </w:r>
          </w:p>
          <w:p w:rsidR="00937C49" w:rsidRDefault="00937C49" w:rsidP="00340A67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>успешно адаптироваться к условиям военной службы юношам, призванным в ряды Вооруженных Сил Российской Федерации.</w:t>
            </w:r>
          </w:p>
          <w:p w:rsidR="00937C49" w:rsidRDefault="00937C49" w:rsidP="00340A67">
            <w:pPr>
              <w:pStyle w:val="Standard"/>
              <w:jc w:val="center"/>
              <w:rPr>
                <w:rFonts w:ascii="Comic Sans MS" w:hAnsi="Comic Sans MS"/>
                <w:b/>
                <w:color w:val="365F91"/>
                <w:sz w:val="28"/>
                <w:szCs w:val="28"/>
              </w:rPr>
            </w:pPr>
          </w:p>
          <w:p w:rsidR="00937C49" w:rsidRDefault="00937C49" w:rsidP="00340A67">
            <w:pPr>
              <w:pStyle w:val="Standard"/>
              <w:jc w:val="center"/>
            </w:pPr>
            <w:r>
              <w:rPr>
                <w:rFonts w:ascii="Comic Sans MS" w:hAnsi="Comic Sans MS"/>
                <w:b/>
                <w:color w:val="365F91"/>
                <w:sz w:val="28"/>
                <w:szCs w:val="28"/>
              </w:rPr>
              <w:t>2. Цель и задачи Программы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i/>
                <w:color w:val="000000"/>
                <w:sz w:val="28"/>
                <w:szCs w:val="28"/>
              </w:rPr>
              <w:t>Целью Программы является</w:t>
            </w:r>
            <w:r>
              <w:rPr>
                <w:color w:val="000000"/>
                <w:sz w:val="28"/>
                <w:szCs w:val="28"/>
              </w:rPr>
              <w:t xml:space="preserve"> реализация в МБОУ «СШ№34»  государственной политики в области подготовки граждан Российской Федерации к военной службе.</w:t>
            </w:r>
          </w:p>
          <w:p w:rsidR="00937C49" w:rsidRDefault="00937C49" w:rsidP="00340A67">
            <w:pPr>
              <w:pStyle w:val="Standard"/>
            </w:pP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i/>
                <w:color w:val="000000"/>
                <w:sz w:val="28"/>
                <w:szCs w:val="28"/>
              </w:rPr>
              <w:t>Задачами Программы являются: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  формирование комплекса нормативно-правового, организационно-методического, материально-технического обеспечения системы допризывной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Style w:val="a6"/>
                <w:color w:val="000000"/>
                <w:sz w:val="28"/>
                <w:szCs w:val="28"/>
              </w:rPr>
              <w:t>общеобразовательного учреждения;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получение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МБОУ «СШ№34»  начальных знаний в области </w:t>
            </w:r>
            <w:r>
              <w:rPr>
                <w:color w:val="000000"/>
                <w:sz w:val="28"/>
                <w:szCs w:val="28"/>
              </w:rPr>
              <w:lastRenderedPageBreak/>
              <w:t>обороны и подготовка их по основам военной службы;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формирование у обучающихся морально-психологических и физических качеств, необходимых для прохождения военной службы;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воспитание патриотизма, уважения к историческому и культурному прошлому Росс</w:t>
            </w:r>
            <w:proofErr w:type="gramStart"/>
            <w:r>
              <w:rPr>
                <w:color w:val="000000"/>
                <w:sz w:val="28"/>
                <w:szCs w:val="28"/>
              </w:rPr>
              <w:t>ии и ее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Вооруженным Силам;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  пропаганда и популяризация службы в Вооруженных Силах Российской Федерации;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 xml:space="preserve">развитие в образовательном учреждении </w:t>
            </w:r>
            <w:proofErr w:type="spellStart"/>
            <w:r>
              <w:rPr>
                <w:sz w:val="28"/>
                <w:szCs w:val="28"/>
              </w:rPr>
              <w:t>объединенияя</w:t>
            </w:r>
            <w:proofErr w:type="spellEnd"/>
            <w:r>
              <w:rPr>
                <w:sz w:val="28"/>
                <w:szCs w:val="28"/>
              </w:rPr>
              <w:t>, обеспечивающего техническую подготовку и проведение занятий с обучающихся военно-прикладными и техническими видами спорта;</w:t>
            </w:r>
            <w:proofErr w:type="gramEnd"/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изучение гражданами основных положений законодательства Российской Федерации в области обороны государства, о воинской обязанности и воинском учете, об обязательной и добровольной подготовке к военной службе, прохождении военной службы по призыву и в добровольном порядке (по контракту), пребывании в запасе, правах, обязанностях и ответственности военнослужащих и граждан, находящихся в запасе;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практическое закрепление полученных знаний в ходе учебных сборов;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военно-профессиональная ориентация на овладение военно-учетными специальностями и выбор профессии офицера;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  развитие и совершенствование школьного курса «Основы безопасности жизнедеятельности» и его раздела «Основы военной службы»;</w:t>
            </w:r>
          </w:p>
          <w:p w:rsidR="00937C49" w:rsidRDefault="00937C49" w:rsidP="00340A67">
            <w:pPr>
              <w:pStyle w:val="Standard"/>
            </w:pPr>
            <w:r>
              <w:rPr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</w:rPr>
              <w:t>пропагандирование</w:t>
            </w:r>
            <w:proofErr w:type="spellEnd"/>
            <w:r>
              <w:rPr>
                <w:bCs/>
                <w:sz w:val="28"/>
                <w:szCs w:val="28"/>
              </w:rPr>
              <w:t xml:space="preserve"> физической культуры и спорта, здорового образа жизни;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i/>
                <w:color w:val="000000"/>
                <w:sz w:val="28"/>
                <w:szCs w:val="28"/>
              </w:rPr>
              <w:t xml:space="preserve">   Решение этих задач включает в себя: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создание центра подготовки граждан к военной службе на базе отдела военного комиссариата;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совершенствование и приведение в соответствие с современными требованиями учебно-материальной базы дисциплин по основам безопасности жизнедеятельности;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внедрение в учебный процесс (учебные сборы) современных обучающих технологий, игровых методов (пейнтбол, мультимедийные тиры);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разработка и реализация мер по совершенствованию военно-патриотического воспитания детей и молодежи города;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повышение уровня физической подготовленности граждан к военной службе;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улучшение состояния здоровья молодежи и совершенствование организации лечебно-оздоровительных мероприятий для допризывной молодежи.</w:t>
            </w:r>
          </w:p>
          <w:p w:rsidR="00937C49" w:rsidRDefault="00937C49" w:rsidP="00340A67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</w:p>
          <w:p w:rsidR="00937C49" w:rsidRDefault="00937C49" w:rsidP="00340A67">
            <w:pPr>
              <w:pStyle w:val="Standard"/>
              <w:jc w:val="center"/>
            </w:pPr>
            <w:r>
              <w:rPr>
                <w:rFonts w:ascii="Comic Sans MS" w:hAnsi="Comic Sans MS"/>
                <w:b/>
                <w:color w:val="365F91"/>
                <w:sz w:val="28"/>
                <w:szCs w:val="28"/>
              </w:rPr>
              <w:t>3. Основные направления реализации Программы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В целях повышения мотивации, проведения мониторинга и анализа уровня подготовки граждан к военной службе и выработки на их основе мер, ориентированных на совершенствование допризывной подготовки, предусматривается участие в городском конкурсе среди муниципальных образовательных учреждений на лучшую подготовку граждан к военной службе, организацию и проведение призыва на военную службу.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Нормативно-правовое и научно-методическое обеспечение преподавания основ военной службы включает в себя: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разработку и принятие нормативных правовых документов, определяющих порядок проведения учебных сборов;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учебно-методическое обеспечение внедрения в учебный процесс (учебные сборы) современных обучающих технологий;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организацию профессиональной переподготовки и повышения квалификации педагогических работников образовательного учреждения, осуществляющих обучение граждан начальным знаниям в области обороны и их подготовку по основам военной службы.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Кроме того, совместно со сборным пунктом планируется создать на базе отдела военного комиссариата центр по подготовке граждан к военной службе.</w:t>
            </w:r>
          </w:p>
          <w:p w:rsidR="00937C49" w:rsidRDefault="00937C49" w:rsidP="00340A67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>Предусматривается также: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совершенствование работы по оздоровлению детей в пришкольных оздоровительных лагерях, летних пришкольных лагерях, детских санаториях, профильных лагерях;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оздоровление детей-сирот и детей, находящихся в трудной жизненной ситуации;</w:t>
            </w:r>
          </w:p>
          <w:p w:rsidR="00937C49" w:rsidRDefault="00937C49" w:rsidP="00340A67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модернизация системы организации питания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образовательном учреждении.</w:t>
            </w:r>
          </w:p>
          <w:p w:rsidR="00937C49" w:rsidRDefault="00937C49" w:rsidP="00340A67">
            <w:pPr>
              <w:pStyle w:val="Standard"/>
              <w:ind w:left="498"/>
              <w:rPr>
                <w:color w:val="000000"/>
                <w:sz w:val="28"/>
                <w:szCs w:val="28"/>
              </w:rPr>
            </w:pPr>
          </w:p>
          <w:p w:rsidR="00937C49" w:rsidRDefault="00937C49" w:rsidP="00340A67">
            <w:pPr>
              <w:pStyle w:val="Standard"/>
              <w:ind w:left="498"/>
              <w:rPr>
                <w:color w:val="000000"/>
                <w:sz w:val="28"/>
                <w:szCs w:val="28"/>
              </w:rPr>
            </w:pPr>
          </w:p>
          <w:p w:rsidR="00937C49" w:rsidRDefault="00937C49" w:rsidP="00340A67">
            <w:pPr>
              <w:pStyle w:val="Standard"/>
              <w:ind w:left="498"/>
              <w:rPr>
                <w:color w:val="000000"/>
                <w:sz w:val="28"/>
                <w:szCs w:val="28"/>
              </w:rPr>
            </w:pPr>
          </w:p>
          <w:p w:rsidR="00937C49" w:rsidRDefault="00937C49" w:rsidP="00340A67">
            <w:pPr>
              <w:pStyle w:val="Standard"/>
              <w:ind w:left="498"/>
            </w:pPr>
          </w:p>
          <w:p w:rsidR="00937C49" w:rsidRDefault="00937C49" w:rsidP="00340A67">
            <w:pPr>
              <w:pStyle w:val="Standard"/>
              <w:ind w:left="498"/>
            </w:pPr>
          </w:p>
          <w:p w:rsidR="00937C49" w:rsidRDefault="00937C49" w:rsidP="00340A67">
            <w:pPr>
              <w:pStyle w:val="Standard"/>
              <w:ind w:left="498"/>
            </w:pPr>
          </w:p>
          <w:p w:rsidR="00937C49" w:rsidRDefault="00937C49" w:rsidP="00340A67">
            <w:pPr>
              <w:pStyle w:val="Standard"/>
              <w:ind w:left="498"/>
            </w:pPr>
          </w:p>
          <w:p w:rsidR="00937C49" w:rsidRDefault="00937C49" w:rsidP="00340A67">
            <w:pPr>
              <w:pStyle w:val="Standard"/>
              <w:ind w:left="498"/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DAE3034" wp14:editId="1E7C357A">
                  <wp:extent cx="5176800" cy="2490840"/>
                  <wp:effectExtent l="0" t="0" r="4800" b="471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6800" cy="249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C49" w:rsidRDefault="00937C49" w:rsidP="00340A67">
            <w:pPr>
              <w:pStyle w:val="Standard"/>
              <w:ind w:left="498"/>
            </w:pPr>
          </w:p>
          <w:p w:rsidR="00937C49" w:rsidRDefault="00937C49" w:rsidP="00340A67">
            <w:pPr>
              <w:pStyle w:val="Standard"/>
              <w:ind w:left="498"/>
            </w:pPr>
          </w:p>
          <w:p w:rsidR="00937C49" w:rsidRDefault="00937C49" w:rsidP="00340A67">
            <w:pPr>
              <w:pStyle w:val="Standard"/>
              <w:ind w:left="498"/>
            </w:pPr>
          </w:p>
          <w:p w:rsidR="00937C49" w:rsidRDefault="00937C49" w:rsidP="00340A67">
            <w:pPr>
              <w:pStyle w:val="Standard"/>
              <w:ind w:left="498"/>
            </w:pPr>
          </w:p>
          <w:p w:rsidR="00937C49" w:rsidRDefault="00937C49" w:rsidP="00340A67">
            <w:pPr>
              <w:pStyle w:val="Standard"/>
              <w:ind w:left="498"/>
              <w:rPr>
                <w:color w:val="000000"/>
                <w:sz w:val="28"/>
                <w:szCs w:val="28"/>
              </w:rPr>
            </w:pPr>
          </w:p>
        </w:tc>
      </w:tr>
    </w:tbl>
    <w:p w:rsidR="001D05BC" w:rsidRDefault="001D05BC">
      <w:bookmarkStart w:id="0" w:name="_GoBack"/>
      <w:bookmarkEnd w:id="0"/>
    </w:p>
    <w:sectPr w:rsidR="001D05BC">
      <w:footerReference w:type="default" r:id="rId9"/>
      <w:pgSz w:w="11906" w:h="16838"/>
      <w:pgMar w:top="1134" w:right="850" w:bottom="1134" w:left="1701" w:header="72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1C0" w:rsidRDefault="00937C49">
    <w:pPr>
      <w:pStyle w:val="a4"/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F4"/>
    <w:rsid w:val="001D05BC"/>
    <w:rsid w:val="00937C49"/>
    <w:rsid w:val="00A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7C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937C4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4"/>
      <w:szCs w:val="20"/>
      <w:lang w:eastAsia="ru-RU"/>
    </w:rPr>
  </w:style>
  <w:style w:type="paragraph" w:styleId="a3">
    <w:name w:val="No Spacing"/>
    <w:rsid w:val="00937C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footer"/>
    <w:basedOn w:val="Standard"/>
    <w:link w:val="a5"/>
    <w:rsid w:val="00937C4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37C4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6">
    <w:name w:val="Strong"/>
    <w:basedOn w:val="a0"/>
    <w:rsid w:val="00937C4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37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C49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7C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937C4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4"/>
      <w:szCs w:val="20"/>
      <w:lang w:eastAsia="ru-RU"/>
    </w:rPr>
  </w:style>
  <w:style w:type="paragraph" w:styleId="a3">
    <w:name w:val="No Spacing"/>
    <w:rsid w:val="00937C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footer"/>
    <w:basedOn w:val="Standard"/>
    <w:link w:val="a5"/>
    <w:rsid w:val="00937C4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37C4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6">
    <w:name w:val="Strong"/>
    <w:basedOn w:val="a0"/>
    <w:rsid w:val="00937C4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37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C49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2531</Words>
  <Characters>14433</Characters>
  <Application>Microsoft Office Word</Application>
  <DocSecurity>0</DocSecurity>
  <Lines>120</Lines>
  <Paragraphs>33</Paragraphs>
  <ScaleCrop>false</ScaleCrop>
  <Company/>
  <LinksUpToDate>false</LinksUpToDate>
  <CharactersWithSpaces>16931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2016-01-15T13:05:00Z</dcterms:created>
  <dcterms:modified xsi:type="dcterms:W3CDTF">2016-01-15T13:06:00Z</dcterms:modified>
</cp:coreProperties>
</file>