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D3" w:rsidRPr="004C7C4C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t>Изобразитель</w:t>
      </w:r>
      <w:r w:rsidR="004C7C4C">
        <w:rPr>
          <w:rFonts w:ascii="Times New Roman" w:hAnsi="Times New Roman"/>
          <w:b/>
          <w:sz w:val="24"/>
          <w:szCs w:val="24"/>
        </w:rPr>
        <w:t>но-выразительные средства языка</w:t>
      </w:r>
    </w:p>
    <w:p w:rsidR="005A77D3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t>1 вариант</w:t>
      </w:r>
    </w:p>
    <w:p w:rsidR="004C7C4C" w:rsidRP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4294"/>
        <w:gridCol w:w="3236"/>
      </w:tblGrid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Троп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Эпитет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Образное выражение, содержащее непомерное преувеличения размера, силы, значения и т.д. какого-либо явления.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«В сорок солнц закат пылал». (Маяковский)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Метонимия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Выражение, содержащее непомерное преуменьшение размера, силы, значения и т.д. какого-либо явления.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«Ниже тоненькой былиночки надо голову клонить» (Некрасов)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Гипербола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Оборот, состоящий в замене названия предмета или явления описанием их существенных признаков или указанием на их характерные черты.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«Я три тарелки съел». (Крылов)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7C1587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Пери</w:t>
            </w:r>
            <w:r w:rsidR="005A77D3" w:rsidRPr="004C7C4C">
              <w:rPr>
                <w:rFonts w:ascii="Times New Roman" w:hAnsi="Times New Roman"/>
                <w:sz w:val="24"/>
                <w:szCs w:val="24"/>
              </w:rPr>
              <w:t>фраза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Слово, определяющее предмет или действие и подчеркивающее в них какое-либо характерное свойство, качество.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Г. «Дредноут боролся, будто живое существо, еще более величественный среди ревущего моря и громовых взрывов».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 xml:space="preserve"> (А.Толстой)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Литота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Это сопоставление двух явлений с тем, чтобы пояснить одно из них при помощи другого.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«Автор  «Героя нашего времени».</w:t>
            </w:r>
          </w:p>
        </w:tc>
      </w:tr>
      <w:tr w:rsidR="005A77D3" w:rsidRPr="004C7C4C" w:rsidTr="004C7C4C">
        <w:tc>
          <w:tcPr>
            <w:tcW w:w="204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Сравнение</w:t>
            </w:r>
          </w:p>
        </w:tc>
        <w:tc>
          <w:tcPr>
            <w:tcW w:w="4294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Слово или выражение, которые употребляются в переносном значении на основе внешней или внутренней связи между двумя предметами или явлениями.</w:t>
            </w:r>
          </w:p>
        </w:tc>
        <w:tc>
          <w:tcPr>
            <w:tcW w:w="323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 «А волны моря с печальным ревом о камень бились». (Горький)</w:t>
            </w:r>
          </w:p>
        </w:tc>
      </w:tr>
    </w:tbl>
    <w:p w:rsidR="005A77D3" w:rsidRPr="004C7C4C" w:rsidRDefault="005A77D3" w:rsidP="005A77D3">
      <w:pPr>
        <w:rPr>
          <w:rFonts w:ascii="Times New Roman" w:hAnsi="Times New Roman"/>
          <w:sz w:val="24"/>
          <w:szCs w:val="24"/>
        </w:rPr>
      </w:pPr>
    </w:p>
    <w:p w:rsidR="005A77D3" w:rsidRPr="004C7C4C" w:rsidRDefault="005A77D3" w:rsidP="005A77D3">
      <w:pPr>
        <w:rPr>
          <w:rFonts w:ascii="Times New Roman" w:hAnsi="Times New Roman"/>
          <w:b/>
          <w:sz w:val="24"/>
          <w:szCs w:val="24"/>
        </w:rPr>
      </w:pPr>
    </w:p>
    <w:p w:rsidR="005A77D3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P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7D3" w:rsidRPr="004C7C4C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lastRenderedPageBreak/>
        <w:t>Изобразительно-выразительные средства языка.</w:t>
      </w:r>
    </w:p>
    <w:p w:rsidR="005A77D3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t>2 вариант</w:t>
      </w:r>
    </w:p>
    <w:p w:rsidR="004C7C4C" w:rsidRP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1"/>
        <w:gridCol w:w="4222"/>
        <w:gridCol w:w="3199"/>
      </w:tblGrid>
      <w:tr w:rsidR="005A77D3" w:rsidRPr="004C7C4C" w:rsidTr="004C7C4C">
        <w:tc>
          <w:tcPr>
            <w:tcW w:w="2151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Троп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Метафора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Перенесение свойств человека на неодушевленные предметы и отвлеченные понятия.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«Снег валил  с неба пудами».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7C1587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Олицетворе</w:t>
            </w:r>
            <w:r w:rsidR="005A77D3" w:rsidRPr="004C7C4C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Образное выражение, преувеличивающее какое-либо действие, предмет, явление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«Смирились вы, моей весны высокопарные мечтанья». (Пушкин)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Синекдоха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Использование описания вместо собственного имени или названия.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«Город на Неве приютил Гоголя».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Гипербола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Разновидность метонимии, основанная на перенесении значения с одного явления на другое по признаку количественного отношения между ними.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Г. «Утешится безмолвная печаль…» (Пушкин)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Оксюморон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Это слово или выражение, которое употребляется в переносном значении на основе сходства в каком-либо отношении двух предметов или явлений.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«Грустное веселье продолжалось…»</w:t>
            </w:r>
          </w:p>
        </w:tc>
      </w:tr>
      <w:tr w:rsidR="005A77D3" w:rsidRPr="004C7C4C" w:rsidTr="004C7C4C">
        <w:tc>
          <w:tcPr>
            <w:tcW w:w="2151" w:type="dxa"/>
          </w:tcPr>
          <w:p w:rsidR="005A77D3" w:rsidRPr="004C7C4C" w:rsidRDefault="007C1587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Пери</w:t>
            </w:r>
            <w:r w:rsidR="005A77D3" w:rsidRPr="004C7C4C">
              <w:rPr>
                <w:rFonts w:ascii="Times New Roman" w:hAnsi="Times New Roman"/>
                <w:sz w:val="24"/>
                <w:szCs w:val="24"/>
              </w:rPr>
              <w:t>фраза</w:t>
            </w:r>
          </w:p>
        </w:tc>
        <w:tc>
          <w:tcPr>
            <w:tcW w:w="4222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Сочетание контрастных по значению слов создающих, новое понятие или представление.</w:t>
            </w:r>
          </w:p>
        </w:tc>
        <w:tc>
          <w:tcPr>
            <w:tcW w:w="3199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«Все спит – и человек, и зверь, и птица» (Гоголь)</w:t>
            </w:r>
          </w:p>
        </w:tc>
      </w:tr>
    </w:tbl>
    <w:p w:rsidR="006C4E05" w:rsidRPr="004C7C4C" w:rsidRDefault="006C4E05" w:rsidP="006C4E05">
      <w:pPr>
        <w:jc w:val="center"/>
        <w:rPr>
          <w:rFonts w:ascii="Times New Roman" w:hAnsi="Times New Roman"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7D3" w:rsidRPr="004C7C4C" w:rsidRDefault="005A77D3" w:rsidP="006C4E05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lastRenderedPageBreak/>
        <w:t>Стилистические фигуры.</w:t>
      </w:r>
    </w:p>
    <w:p w:rsidR="005A77D3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t>1 вариант</w:t>
      </w:r>
    </w:p>
    <w:p w:rsidR="004C7C4C" w:rsidRPr="004C7C4C" w:rsidRDefault="004C7C4C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6"/>
        <w:gridCol w:w="4325"/>
        <w:gridCol w:w="3131"/>
      </w:tblGrid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Фигура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Анафора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Стилистическая фигура, заключающаяся в пропуске какого-либо подразумеваемого члена предложения.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А. «Швед, русский – колет, рубит, режет, бой барабанный, клики, скрежет, гром пушек, топот, ржанье стон…» (Пушкин)</w:t>
            </w:r>
            <w:proofErr w:type="gramEnd"/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Бессоюзие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Стилистическая фигура, состоящая в подчеркнутом обращении к кому-либо или чему-либо для усиления выразительности речи.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«Молодым везде у нас дорога, старикам везде у нас почет» (Лебедев-Кумач)</w:t>
            </w:r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Параллелизм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Стилистическая фигура, состоящая в намеренном пропуске соединительных союзов между членами предложения или между предложениями.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«Цветы, любовь, деревня,</w:t>
            </w:r>
          </w:p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Праздность. Поля!» (Пушкин)</w:t>
            </w:r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Риторическое обращение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4)  Повторение отдельных слов или оборотов в начале отрывков, из которых строится высказывание.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Г. «Мы села – в пепел, грады – в прах, в мечи – серпы и плуги». ( Жуковский)</w:t>
            </w:r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Эллипсис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5) Расположение членов предложения в особом порядке, нарушающем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обычный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>, так называемый прямой.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Д. «С ужасом думала я, к чему все это приведет» (Пушкин)</w:t>
            </w:r>
          </w:p>
        </w:tc>
      </w:tr>
      <w:tr w:rsidR="005A77D3" w:rsidRPr="004C7C4C" w:rsidTr="004C7C4C">
        <w:tc>
          <w:tcPr>
            <w:tcW w:w="2116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Инверсия</w:t>
            </w:r>
          </w:p>
        </w:tc>
        <w:tc>
          <w:tcPr>
            <w:tcW w:w="4325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Одинаковое синтаксическое построение соседних предложений или отрезков речи.</w:t>
            </w:r>
          </w:p>
        </w:tc>
        <w:tc>
          <w:tcPr>
            <w:tcW w:w="3131" w:type="dxa"/>
          </w:tcPr>
          <w:p w:rsidR="005A77D3" w:rsidRPr="004C7C4C" w:rsidRDefault="005A77D3" w:rsidP="00562A1D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«Клянусь я первым днем творенья, клянусь его последним днем, клянусь позором преступленья и вечной правды торжеством». (Лермонтов)</w:t>
            </w:r>
          </w:p>
        </w:tc>
      </w:tr>
    </w:tbl>
    <w:p w:rsidR="005A77D3" w:rsidRPr="004C7C4C" w:rsidRDefault="005A77D3" w:rsidP="005A77D3">
      <w:pPr>
        <w:rPr>
          <w:rFonts w:ascii="Times New Roman" w:hAnsi="Times New Roman"/>
          <w:b/>
          <w:sz w:val="24"/>
          <w:szCs w:val="24"/>
        </w:rPr>
      </w:pPr>
    </w:p>
    <w:p w:rsidR="006C4E05" w:rsidRPr="004C7C4C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E05" w:rsidRPr="004C7C4C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E05" w:rsidRPr="004C7C4C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E05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7C4C" w:rsidRP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E05" w:rsidRPr="004C7C4C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E05" w:rsidRPr="004C7C4C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lastRenderedPageBreak/>
        <w:t>Стилистические фигуры.</w:t>
      </w:r>
    </w:p>
    <w:p w:rsidR="006C4E05" w:rsidRDefault="006C4E05" w:rsidP="006C4E05">
      <w:pPr>
        <w:jc w:val="center"/>
        <w:rPr>
          <w:rFonts w:ascii="Times New Roman" w:hAnsi="Times New Roman"/>
          <w:b/>
          <w:sz w:val="24"/>
          <w:szCs w:val="24"/>
        </w:rPr>
      </w:pPr>
      <w:r w:rsidRPr="004C7C4C">
        <w:rPr>
          <w:rFonts w:ascii="Times New Roman" w:hAnsi="Times New Roman"/>
          <w:b/>
          <w:sz w:val="24"/>
          <w:szCs w:val="24"/>
        </w:rPr>
        <w:t>2 вариант</w:t>
      </w:r>
    </w:p>
    <w:p w:rsidR="004C7C4C" w:rsidRPr="004C7C4C" w:rsidRDefault="004C7C4C" w:rsidP="006C4E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7"/>
        <w:gridCol w:w="4410"/>
        <w:gridCol w:w="3045"/>
      </w:tblGrid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Фигура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C4C">
              <w:rPr>
                <w:rFonts w:ascii="Times New Roman" w:hAnsi="Times New Roman"/>
                <w:b/>
                <w:sz w:val="24"/>
                <w:szCs w:val="24"/>
              </w:rPr>
              <w:t>Пример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1. Эпифора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1) Стилистическая фигура, состоящая в намеренном использовании повторяющихся союзов для логического и интонационного подчеркивания соединяемых союзами членов предложения, для усиления выразительности речи.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А. «Где стол был яств, там гроб стоит» (Державин)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2. Умолчание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2) Повторение слов или выражений в конце смежных отрывков (предложений).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Б. «Знаете ли вы украинскую ночь?» (Гоголь)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3. Риторический вопрос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3) Оборот, в котором для усиления выразительности речи резко противопоставляются противоположные понятия.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В. «Мне бы хотелось знать, отчего я титулярный советник? Почему именно титулярный советник?» (Гоголь)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4. Многосоюзие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4) Оборот речи, заключающийся в том, что автор сознательно не до конца выражает мысль, предоставляя читателю самому догадываться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 xml:space="preserve"> невысказанном.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Г. «Приехав домой, </w:t>
            </w:r>
            <w:proofErr w:type="spellStart"/>
            <w:r w:rsidRPr="004C7C4C">
              <w:rPr>
                <w:rFonts w:ascii="Times New Roman" w:hAnsi="Times New Roman"/>
                <w:sz w:val="24"/>
                <w:szCs w:val="24"/>
              </w:rPr>
              <w:t>Лаевский</w:t>
            </w:r>
            <w:proofErr w:type="spellEnd"/>
            <w:r w:rsidRPr="004C7C4C">
              <w:rPr>
                <w:rFonts w:ascii="Times New Roman" w:hAnsi="Times New Roman"/>
                <w:sz w:val="24"/>
                <w:szCs w:val="24"/>
              </w:rPr>
              <w:t xml:space="preserve"> и Надежда Федоровна вошли в свои темные, душные, скучные комнаты» (Чехов)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5. Градация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5) Стилистическая фигура, состоящая в том, что вопрос ставится не с целью получить на него ответ, а чтобы привлечь внимание к тому или иному явлению.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 xml:space="preserve">Д. «Нет, я </w:t>
            </w:r>
            <w:proofErr w:type="gramStart"/>
            <w:r w:rsidRPr="004C7C4C">
              <w:rPr>
                <w:rFonts w:ascii="Times New Roman" w:hAnsi="Times New Roman"/>
                <w:sz w:val="24"/>
                <w:szCs w:val="24"/>
              </w:rPr>
              <w:t>хотел</w:t>
            </w:r>
            <w:proofErr w:type="gramEnd"/>
            <w:r w:rsidRPr="004C7C4C">
              <w:rPr>
                <w:rFonts w:ascii="Times New Roman" w:hAnsi="Times New Roman"/>
                <w:sz w:val="24"/>
                <w:szCs w:val="24"/>
              </w:rPr>
              <w:t>… быть может, вы… я думал, что уж барону время умереть». (Пушкин)</w:t>
            </w:r>
          </w:p>
        </w:tc>
      </w:tr>
      <w:tr w:rsidR="006C4E05" w:rsidRPr="004C7C4C" w:rsidTr="004C7C4C">
        <w:tc>
          <w:tcPr>
            <w:tcW w:w="2117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6. Антитеза</w:t>
            </w:r>
          </w:p>
        </w:tc>
        <w:tc>
          <w:tcPr>
            <w:tcW w:w="4410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6) Стилистическая фигура, состоящая в таком расположении слов, при котором каждое последующее содержит усиливающее значение, благодаря чему создается нарастание производимого впечатления.</w:t>
            </w:r>
          </w:p>
        </w:tc>
        <w:tc>
          <w:tcPr>
            <w:tcW w:w="3045" w:type="dxa"/>
          </w:tcPr>
          <w:p w:rsidR="006C4E05" w:rsidRPr="004C7C4C" w:rsidRDefault="006C4E05" w:rsidP="00FB78F7">
            <w:pPr>
              <w:rPr>
                <w:rFonts w:ascii="Times New Roman" w:hAnsi="Times New Roman"/>
                <w:sz w:val="24"/>
                <w:szCs w:val="24"/>
              </w:rPr>
            </w:pPr>
            <w:r w:rsidRPr="004C7C4C">
              <w:rPr>
                <w:rFonts w:ascii="Times New Roman" w:hAnsi="Times New Roman"/>
                <w:sz w:val="24"/>
                <w:szCs w:val="24"/>
              </w:rPr>
              <w:t>Е. «Тонкий дождь сеялся и на леса, и на поля, и на широкий Днепр». (Гоголь)</w:t>
            </w:r>
          </w:p>
        </w:tc>
      </w:tr>
    </w:tbl>
    <w:p w:rsidR="005A77D3" w:rsidRPr="004C7C4C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77D3" w:rsidRPr="004C7C4C" w:rsidRDefault="005A77D3" w:rsidP="005A77D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5A77D3" w:rsidRPr="004C7C4C" w:rsidSect="00E24A0F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32D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3DE"/>
    <w:multiLevelType w:val="singleLevel"/>
    <w:tmpl w:val="2B2C0872"/>
    <w:lvl w:ilvl="0">
      <w:start w:val="1"/>
      <w:numFmt w:val="decimal"/>
      <w:lvlText w:val="%1."/>
      <w:lvlJc w:val="left"/>
      <w:pPr>
        <w:tabs>
          <w:tab w:val="num" w:pos="360"/>
        </w:tabs>
        <w:ind w:left="576" w:firstLine="288"/>
      </w:pPr>
      <w:rPr>
        <w:rFonts w:ascii="Tahoma" w:hAnsi="Tahoma" w:cs="Tahoma"/>
        <w:snapToGrid/>
        <w:sz w:val="18"/>
        <w:szCs w:val="18"/>
      </w:rPr>
    </w:lvl>
  </w:abstractNum>
  <w:abstractNum w:abstractNumId="2">
    <w:nsid w:val="0BA61A86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6389E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B3BA4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36DA"/>
    <w:multiLevelType w:val="hybridMultilevel"/>
    <w:tmpl w:val="15B65552"/>
    <w:lvl w:ilvl="0" w:tplc="12E2BE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6B97BFC"/>
    <w:multiLevelType w:val="hybridMultilevel"/>
    <w:tmpl w:val="BC22D7F4"/>
    <w:lvl w:ilvl="0" w:tplc="547A2F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C620F9F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D1C89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F0597"/>
    <w:multiLevelType w:val="hybridMultilevel"/>
    <w:tmpl w:val="CEE0E296"/>
    <w:lvl w:ilvl="0" w:tplc="2196E73A">
      <w:start w:val="1"/>
      <w:numFmt w:val="decimal"/>
      <w:lvlText w:val="%1."/>
      <w:lvlJc w:val="left"/>
      <w:pPr>
        <w:ind w:left="12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115719E"/>
    <w:multiLevelType w:val="hybridMultilevel"/>
    <w:tmpl w:val="90D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576" w:firstLine="288"/>
        </w:pPr>
        <w:rPr>
          <w:rFonts w:ascii="Tahoma" w:hAnsi="Tahoma" w:cs="Tahoma"/>
          <w:snapToGrid/>
          <w:sz w:val="18"/>
          <w:szCs w:val="18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576" w:firstLine="288"/>
        </w:pPr>
        <w:rPr>
          <w:rFonts w:ascii="Courier New" w:hAnsi="Courier New" w:cs="Courier New"/>
          <w:snapToGrid/>
          <w:sz w:val="16"/>
          <w:szCs w:val="16"/>
        </w:rPr>
      </w:lvl>
    </w:lvlOverride>
  </w:num>
  <w:num w:numId="10">
    <w:abstractNumId w:val="1"/>
    <w:lvlOverride w:ilvl="0">
      <w:lvl w:ilvl="0">
        <w:numFmt w:val="decimal"/>
        <w:lvlText w:val="%1."/>
        <w:lvlJc w:val="left"/>
        <w:pPr>
          <w:tabs>
            <w:tab w:val="num" w:pos="1296"/>
          </w:tabs>
          <w:ind w:left="2160" w:hanging="1296"/>
        </w:pPr>
        <w:rPr>
          <w:rFonts w:ascii="Tahoma" w:hAnsi="Tahoma" w:cs="Tahoma"/>
          <w:snapToGrid/>
          <w:sz w:val="18"/>
          <w:szCs w:val="18"/>
        </w:rPr>
      </w:lvl>
    </w:lvlOverride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59E"/>
    <w:rsid w:val="000005DE"/>
    <w:rsid w:val="0001014D"/>
    <w:rsid w:val="00024804"/>
    <w:rsid w:val="00031EE1"/>
    <w:rsid w:val="00033E7D"/>
    <w:rsid w:val="00037D56"/>
    <w:rsid w:val="000429C7"/>
    <w:rsid w:val="00051C20"/>
    <w:rsid w:val="000549AF"/>
    <w:rsid w:val="00066315"/>
    <w:rsid w:val="000707EA"/>
    <w:rsid w:val="0007298F"/>
    <w:rsid w:val="00090786"/>
    <w:rsid w:val="00097C58"/>
    <w:rsid w:val="000A05B6"/>
    <w:rsid w:val="000A7660"/>
    <w:rsid w:val="000E0596"/>
    <w:rsid w:val="000E2DFF"/>
    <w:rsid w:val="000E3AA2"/>
    <w:rsid w:val="000E50BB"/>
    <w:rsid w:val="000E58A7"/>
    <w:rsid w:val="000F41E7"/>
    <w:rsid w:val="00100063"/>
    <w:rsid w:val="00110117"/>
    <w:rsid w:val="00113EDF"/>
    <w:rsid w:val="001221B1"/>
    <w:rsid w:val="00126185"/>
    <w:rsid w:val="00127BF1"/>
    <w:rsid w:val="0013273D"/>
    <w:rsid w:val="00137BC5"/>
    <w:rsid w:val="0014043B"/>
    <w:rsid w:val="00144437"/>
    <w:rsid w:val="00144E70"/>
    <w:rsid w:val="00145788"/>
    <w:rsid w:val="001522E3"/>
    <w:rsid w:val="00153C94"/>
    <w:rsid w:val="00154023"/>
    <w:rsid w:val="00161CC9"/>
    <w:rsid w:val="00166E18"/>
    <w:rsid w:val="00167E62"/>
    <w:rsid w:val="001703B8"/>
    <w:rsid w:val="00170A67"/>
    <w:rsid w:val="00173865"/>
    <w:rsid w:val="00174CCE"/>
    <w:rsid w:val="0018058B"/>
    <w:rsid w:val="00182B7A"/>
    <w:rsid w:val="00184621"/>
    <w:rsid w:val="001A68E9"/>
    <w:rsid w:val="001B18DE"/>
    <w:rsid w:val="001B63F1"/>
    <w:rsid w:val="001C7C49"/>
    <w:rsid w:val="001D218A"/>
    <w:rsid w:val="001D45C5"/>
    <w:rsid w:val="001E03B8"/>
    <w:rsid w:val="001E137B"/>
    <w:rsid w:val="001E518B"/>
    <w:rsid w:val="001F7E20"/>
    <w:rsid w:val="002012B8"/>
    <w:rsid w:val="00203C08"/>
    <w:rsid w:val="0021675A"/>
    <w:rsid w:val="00220377"/>
    <w:rsid w:val="00224700"/>
    <w:rsid w:val="00230F33"/>
    <w:rsid w:val="00232A0F"/>
    <w:rsid w:val="0024166C"/>
    <w:rsid w:val="00241EBA"/>
    <w:rsid w:val="002625F4"/>
    <w:rsid w:val="00265680"/>
    <w:rsid w:val="00270D88"/>
    <w:rsid w:val="00272635"/>
    <w:rsid w:val="00272862"/>
    <w:rsid w:val="00274F70"/>
    <w:rsid w:val="00275324"/>
    <w:rsid w:val="00275CD5"/>
    <w:rsid w:val="00276AAA"/>
    <w:rsid w:val="00277AB1"/>
    <w:rsid w:val="002904D3"/>
    <w:rsid w:val="00292550"/>
    <w:rsid w:val="002A3EA8"/>
    <w:rsid w:val="002B23A6"/>
    <w:rsid w:val="002B7A75"/>
    <w:rsid w:val="002C1756"/>
    <w:rsid w:val="002C1EAB"/>
    <w:rsid w:val="0030031C"/>
    <w:rsid w:val="003025BE"/>
    <w:rsid w:val="00306A11"/>
    <w:rsid w:val="003202CF"/>
    <w:rsid w:val="003225B0"/>
    <w:rsid w:val="0033071B"/>
    <w:rsid w:val="00331933"/>
    <w:rsid w:val="00333092"/>
    <w:rsid w:val="00336C20"/>
    <w:rsid w:val="00337766"/>
    <w:rsid w:val="00344FBB"/>
    <w:rsid w:val="0035405F"/>
    <w:rsid w:val="00360BA2"/>
    <w:rsid w:val="003623DE"/>
    <w:rsid w:val="00374AEB"/>
    <w:rsid w:val="00375E65"/>
    <w:rsid w:val="003A63FB"/>
    <w:rsid w:val="003B06F6"/>
    <w:rsid w:val="003C52F3"/>
    <w:rsid w:val="003D606D"/>
    <w:rsid w:val="003E73CF"/>
    <w:rsid w:val="003E7E7D"/>
    <w:rsid w:val="003F5134"/>
    <w:rsid w:val="003F5805"/>
    <w:rsid w:val="00436B16"/>
    <w:rsid w:val="00464517"/>
    <w:rsid w:val="00466094"/>
    <w:rsid w:val="00466967"/>
    <w:rsid w:val="00467270"/>
    <w:rsid w:val="00471DD9"/>
    <w:rsid w:val="004758E4"/>
    <w:rsid w:val="00477D88"/>
    <w:rsid w:val="0048553C"/>
    <w:rsid w:val="00490E32"/>
    <w:rsid w:val="004969E6"/>
    <w:rsid w:val="00497ED5"/>
    <w:rsid w:val="004A44E3"/>
    <w:rsid w:val="004B3165"/>
    <w:rsid w:val="004B6D66"/>
    <w:rsid w:val="004C6ED2"/>
    <w:rsid w:val="004C7C4C"/>
    <w:rsid w:val="004E7A26"/>
    <w:rsid w:val="004F0B2E"/>
    <w:rsid w:val="004F1513"/>
    <w:rsid w:val="004F2DB2"/>
    <w:rsid w:val="004F70A9"/>
    <w:rsid w:val="00500A93"/>
    <w:rsid w:val="005035A5"/>
    <w:rsid w:val="005051FE"/>
    <w:rsid w:val="00507EF4"/>
    <w:rsid w:val="00520065"/>
    <w:rsid w:val="00521518"/>
    <w:rsid w:val="00522CA7"/>
    <w:rsid w:val="00527138"/>
    <w:rsid w:val="00527EDA"/>
    <w:rsid w:val="005340DA"/>
    <w:rsid w:val="0054176E"/>
    <w:rsid w:val="005521F5"/>
    <w:rsid w:val="005530AF"/>
    <w:rsid w:val="00554F82"/>
    <w:rsid w:val="005622DB"/>
    <w:rsid w:val="00562A1D"/>
    <w:rsid w:val="0056501E"/>
    <w:rsid w:val="005659EA"/>
    <w:rsid w:val="00573865"/>
    <w:rsid w:val="00580184"/>
    <w:rsid w:val="00586D9B"/>
    <w:rsid w:val="00594363"/>
    <w:rsid w:val="00595E9D"/>
    <w:rsid w:val="005A358A"/>
    <w:rsid w:val="005A505D"/>
    <w:rsid w:val="005A68AE"/>
    <w:rsid w:val="005A77D3"/>
    <w:rsid w:val="005B3C75"/>
    <w:rsid w:val="005B511D"/>
    <w:rsid w:val="005B7E59"/>
    <w:rsid w:val="005C0133"/>
    <w:rsid w:val="005C21E7"/>
    <w:rsid w:val="005D42E6"/>
    <w:rsid w:val="005E5000"/>
    <w:rsid w:val="005F3B9D"/>
    <w:rsid w:val="005F632A"/>
    <w:rsid w:val="0060698B"/>
    <w:rsid w:val="00610D45"/>
    <w:rsid w:val="006214CE"/>
    <w:rsid w:val="006229FB"/>
    <w:rsid w:val="00626D71"/>
    <w:rsid w:val="0064133D"/>
    <w:rsid w:val="00641704"/>
    <w:rsid w:val="006434F0"/>
    <w:rsid w:val="00657C56"/>
    <w:rsid w:val="00663B6F"/>
    <w:rsid w:val="006802B8"/>
    <w:rsid w:val="00686976"/>
    <w:rsid w:val="00686AA1"/>
    <w:rsid w:val="006963BF"/>
    <w:rsid w:val="006A5A83"/>
    <w:rsid w:val="006A790F"/>
    <w:rsid w:val="006B7DF0"/>
    <w:rsid w:val="006C26F5"/>
    <w:rsid w:val="006C40EB"/>
    <w:rsid w:val="006C4E05"/>
    <w:rsid w:val="006D39A2"/>
    <w:rsid w:val="006D49A7"/>
    <w:rsid w:val="006D6E77"/>
    <w:rsid w:val="006E1DA9"/>
    <w:rsid w:val="006F4AB6"/>
    <w:rsid w:val="00710006"/>
    <w:rsid w:val="00713061"/>
    <w:rsid w:val="00715C51"/>
    <w:rsid w:val="00722E85"/>
    <w:rsid w:val="00731493"/>
    <w:rsid w:val="007320C2"/>
    <w:rsid w:val="0074065D"/>
    <w:rsid w:val="007416CA"/>
    <w:rsid w:val="007439CD"/>
    <w:rsid w:val="0076344A"/>
    <w:rsid w:val="00770E1B"/>
    <w:rsid w:val="0077559E"/>
    <w:rsid w:val="00783743"/>
    <w:rsid w:val="00784E88"/>
    <w:rsid w:val="00787D2A"/>
    <w:rsid w:val="007A00DA"/>
    <w:rsid w:val="007A2343"/>
    <w:rsid w:val="007A6EE5"/>
    <w:rsid w:val="007C1587"/>
    <w:rsid w:val="007C462D"/>
    <w:rsid w:val="007D6311"/>
    <w:rsid w:val="007F52E5"/>
    <w:rsid w:val="007F544A"/>
    <w:rsid w:val="007F6EAD"/>
    <w:rsid w:val="007F7B25"/>
    <w:rsid w:val="0081188D"/>
    <w:rsid w:val="008149EB"/>
    <w:rsid w:val="00814AC1"/>
    <w:rsid w:val="00817198"/>
    <w:rsid w:val="00822CA8"/>
    <w:rsid w:val="00822E78"/>
    <w:rsid w:val="0082549C"/>
    <w:rsid w:val="008404D4"/>
    <w:rsid w:val="008441B9"/>
    <w:rsid w:val="00857499"/>
    <w:rsid w:val="00877E8F"/>
    <w:rsid w:val="00881AA2"/>
    <w:rsid w:val="00894EFA"/>
    <w:rsid w:val="008A5947"/>
    <w:rsid w:val="008B0D1E"/>
    <w:rsid w:val="008B1294"/>
    <w:rsid w:val="008B7D58"/>
    <w:rsid w:val="008D0879"/>
    <w:rsid w:val="008D0D04"/>
    <w:rsid w:val="008D7D00"/>
    <w:rsid w:val="008E3A3B"/>
    <w:rsid w:val="008E62ED"/>
    <w:rsid w:val="008F2483"/>
    <w:rsid w:val="00907E6B"/>
    <w:rsid w:val="009123A8"/>
    <w:rsid w:val="0091757E"/>
    <w:rsid w:val="00926031"/>
    <w:rsid w:val="00926CC1"/>
    <w:rsid w:val="00933BAD"/>
    <w:rsid w:val="00934C33"/>
    <w:rsid w:val="00942B74"/>
    <w:rsid w:val="009473D7"/>
    <w:rsid w:val="009569DA"/>
    <w:rsid w:val="00957E4F"/>
    <w:rsid w:val="00964DFF"/>
    <w:rsid w:val="00966F0D"/>
    <w:rsid w:val="009708AC"/>
    <w:rsid w:val="00970F12"/>
    <w:rsid w:val="00982C42"/>
    <w:rsid w:val="009837AB"/>
    <w:rsid w:val="009B7E6A"/>
    <w:rsid w:val="009D128F"/>
    <w:rsid w:val="009F0E1A"/>
    <w:rsid w:val="009F2127"/>
    <w:rsid w:val="00A00EFD"/>
    <w:rsid w:val="00A20A67"/>
    <w:rsid w:val="00A223D0"/>
    <w:rsid w:val="00A242AB"/>
    <w:rsid w:val="00A25560"/>
    <w:rsid w:val="00A35372"/>
    <w:rsid w:val="00A659D6"/>
    <w:rsid w:val="00A66F16"/>
    <w:rsid w:val="00AB2616"/>
    <w:rsid w:val="00AB781B"/>
    <w:rsid w:val="00AD25E0"/>
    <w:rsid w:val="00AE45AF"/>
    <w:rsid w:val="00AE4C79"/>
    <w:rsid w:val="00AF1907"/>
    <w:rsid w:val="00AF23B6"/>
    <w:rsid w:val="00AF31B1"/>
    <w:rsid w:val="00B03CB4"/>
    <w:rsid w:val="00B07FF3"/>
    <w:rsid w:val="00B12C1B"/>
    <w:rsid w:val="00B15B67"/>
    <w:rsid w:val="00B17C21"/>
    <w:rsid w:val="00B20F05"/>
    <w:rsid w:val="00B24745"/>
    <w:rsid w:val="00B24B85"/>
    <w:rsid w:val="00B31202"/>
    <w:rsid w:val="00B31329"/>
    <w:rsid w:val="00B340BC"/>
    <w:rsid w:val="00B40E4D"/>
    <w:rsid w:val="00B432D4"/>
    <w:rsid w:val="00B43CDF"/>
    <w:rsid w:val="00B43E55"/>
    <w:rsid w:val="00B52EAB"/>
    <w:rsid w:val="00B56227"/>
    <w:rsid w:val="00B6014E"/>
    <w:rsid w:val="00B65840"/>
    <w:rsid w:val="00B740A2"/>
    <w:rsid w:val="00B85003"/>
    <w:rsid w:val="00B86AA0"/>
    <w:rsid w:val="00B87F38"/>
    <w:rsid w:val="00BA7BC3"/>
    <w:rsid w:val="00BB500F"/>
    <w:rsid w:val="00BC6A03"/>
    <w:rsid w:val="00BD0A33"/>
    <w:rsid w:val="00BD1CBE"/>
    <w:rsid w:val="00BE2926"/>
    <w:rsid w:val="00BE4374"/>
    <w:rsid w:val="00BE4C2A"/>
    <w:rsid w:val="00BE66B0"/>
    <w:rsid w:val="00C0177A"/>
    <w:rsid w:val="00C019D5"/>
    <w:rsid w:val="00C01E5F"/>
    <w:rsid w:val="00C076AC"/>
    <w:rsid w:val="00C122B2"/>
    <w:rsid w:val="00C13ABC"/>
    <w:rsid w:val="00C142D8"/>
    <w:rsid w:val="00C164F4"/>
    <w:rsid w:val="00C236CC"/>
    <w:rsid w:val="00C2677F"/>
    <w:rsid w:val="00C33AED"/>
    <w:rsid w:val="00C35425"/>
    <w:rsid w:val="00C5485A"/>
    <w:rsid w:val="00C54D51"/>
    <w:rsid w:val="00C60503"/>
    <w:rsid w:val="00C631B6"/>
    <w:rsid w:val="00C64824"/>
    <w:rsid w:val="00C77C2D"/>
    <w:rsid w:val="00C91779"/>
    <w:rsid w:val="00CB17E1"/>
    <w:rsid w:val="00CB275A"/>
    <w:rsid w:val="00CB6037"/>
    <w:rsid w:val="00CC0A6E"/>
    <w:rsid w:val="00CC0FDB"/>
    <w:rsid w:val="00CD1D75"/>
    <w:rsid w:val="00CD6017"/>
    <w:rsid w:val="00CD7E5E"/>
    <w:rsid w:val="00CE5078"/>
    <w:rsid w:val="00CF4ACE"/>
    <w:rsid w:val="00CF5404"/>
    <w:rsid w:val="00CF6C91"/>
    <w:rsid w:val="00D065A2"/>
    <w:rsid w:val="00D069F8"/>
    <w:rsid w:val="00D101FD"/>
    <w:rsid w:val="00D132E2"/>
    <w:rsid w:val="00D15035"/>
    <w:rsid w:val="00D17709"/>
    <w:rsid w:val="00D228F0"/>
    <w:rsid w:val="00D24964"/>
    <w:rsid w:val="00D2655A"/>
    <w:rsid w:val="00D3403E"/>
    <w:rsid w:val="00D402E6"/>
    <w:rsid w:val="00D466AD"/>
    <w:rsid w:val="00D467DB"/>
    <w:rsid w:val="00D6198C"/>
    <w:rsid w:val="00D6296F"/>
    <w:rsid w:val="00D815AC"/>
    <w:rsid w:val="00D8520A"/>
    <w:rsid w:val="00D918C6"/>
    <w:rsid w:val="00D95541"/>
    <w:rsid w:val="00DA04AF"/>
    <w:rsid w:val="00DB2AF0"/>
    <w:rsid w:val="00DB6C97"/>
    <w:rsid w:val="00DB6E79"/>
    <w:rsid w:val="00DC5C3B"/>
    <w:rsid w:val="00DD091D"/>
    <w:rsid w:val="00DE10B9"/>
    <w:rsid w:val="00DE4937"/>
    <w:rsid w:val="00DF1962"/>
    <w:rsid w:val="00E059F0"/>
    <w:rsid w:val="00E159BD"/>
    <w:rsid w:val="00E16FE3"/>
    <w:rsid w:val="00E24A0F"/>
    <w:rsid w:val="00E36A22"/>
    <w:rsid w:val="00E412C2"/>
    <w:rsid w:val="00E44272"/>
    <w:rsid w:val="00E46CAE"/>
    <w:rsid w:val="00E53896"/>
    <w:rsid w:val="00E61477"/>
    <w:rsid w:val="00E62FCF"/>
    <w:rsid w:val="00E64D9B"/>
    <w:rsid w:val="00E71285"/>
    <w:rsid w:val="00E73108"/>
    <w:rsid w:val="00E737C0"/>
    <w:rsid w:val="00E76AA4"/>
    <w:rsid w:val="00E80FB1"/>
    <w:rsid w:val="00E868D4"/>
    <w:rsid w:val="00E86EEB"/>
    <w:rsid w:val="00E90E46"/>
    <w:rsid w:val="00EA1CA5"/>
    <w:rsid w:val="00EB0F76"/>
    <w:rsid w:val="00EC48F2"/>
    <w:rsid w:val="00EC6CC2"/>
    <w:rsid w:val="00ED3163"/>
    <w:rsid w:val="00ED5326"/>
    <w:rsid w:val="00EF5672"/>
    <w:rsid w:val="00F03598"/>
    <w:rsid w:val="00F2229D"/>
    <w:rsid w:val="00F26BB6"/>
    <w:rsid w:val="00F344C0"/>
    <w:rsid w:val="00F3594E"/>
    <w:rsid w:val="00F409A9"/>
    <w:rsid w:val="00F40C43"/>
    <w:rsid w:val="00F431D3"/>
    <w:rsid w:val="00F52E71"/>
    <w:rsid w:val="00F536CD"/>
    <w:rsid w:val="00F55C9F"/>
    <w:rsid w:val="00F66E45"/>
    <w:rsid w:val="00F67338"/>
    <w:rsid w:val="00F673FD"/>
    <w:rsid w:val="00F74F15"/>
    <w:rsid w:val="00F75469"/>
    <w:rsid w:val="00F75564"/>
    <w:rsid w:val="00F77D59"/>
    <w:rsid w:val="00F849FA"/>
    <w:rsid w:val="00F84D1D"/>
    <w:rsid w:val="00F8582C"/>
    <w:rsid w:val="00F902ED"/>
    <w:rsid w:val="00F90D43"/>
    <w:rsid w:val="00F95242"/>
    <w:rsid w:val="00F95B8C"/>
    <w:rsid w:val="00F95E5A"/>
    <w:rsid w:val="00FA0806"/>
    <w:rsid w:val="00FA47D8"/>
    <w:rsid w:val="00FA4A09"/>
    <w:rsid w:val="00FB0236"/>
    <w:rsid w:val="00FB1A55"/>
    <w:rsid w:val="00FB3D8E"/>
    <w:rsid w:val="00FB503F"/>
    <w:rsid w:val="00FB6F9A"/>
    <w:rsid w:val="00FB78F7"/>
    <w:rsid w:val="00FE2BBF"/>
    <w:rsid w:val="00FE7766"/>
    <w:rsid w:val="00FE7977"/>
    <w:rsid w:val="00FF035D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B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Ольга</cp:lastModifiedBy>
  <cp:revision>5</cp:revision>
  <cp:lastPrinted>2011-12-16T08:03:00Z</cp:lastPrinted>
  <dcterms:created xsi:type="dcterms:W3CDTF">2012-05-26T21:34:00Z</dcterms:created>
  <dcterms:modified xsi:type="dcterms:W3CDTF">2013-10-06T15:08:00Z</dcterms:modified>
</cp:coreProperties>
</file>