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C4" w:rsidRDefault="00341345">
      <w:pPr>
        <w:pStyle w:val="Heading10"/>
        <w:keepNext/>
        <w:keepLines/>
        <w:shd w:val="clear" w:color="auto" w:fill="auto"/>
        <w:spacing w:after="443" w:line="260" w:lineRule="exact"/>
        <w:ind w:left="1360"/>
      </w:pPr>
      <w:bookmarkStart w:id="0" w:name="bookmark0"/>
      <w:bookmarkStart w:id="1" w:name="_GoBack"/>
      <w:r>
        <w:t>Игры на составление геометрических фигур из частей</w:t>
      </w:r>
      <w:bookmarkEnd w:id="0"/>
    </w:p>
    <w:p w:rsidR="00F024C4" w:rsidRDefault="00341345">
      <w:pPr>
        <w:pStyle w:val="1"/>
        <w:shd w:val="clear" w:color="auto" w:fill="auto"/>
        <w:spacing w:before="0"/>
        <w:ind w:left="20" w:right="20" w:firstLine="700"/>
      </w:pPr>
      <w:r>
        <w:t>В программе уделяется большое внимание упражнениям на составление геометрических фигур из частей, составление узоров, орнаментов. Эти упражнения развивают сенсорные способности, тренируют наглядно-образное и словесно-логическое мышление. Игры на воссоздани</w:t>
      </w:r>
      <w:r>
        <w:t>е очень популярны среди детей дошкольного возраста.</w:t>
      </w:r>
    </w:p>
    <w:p w:rsidR="00F024C4" w:rsidRDefault="00341345">
      <w:pPr>
        <w:pStyle w:val="1"/>
        <w:shd w:val="clear" w:color="auto" w:fill="auto"/>
        <w:spacing w:before="0"/>
        <w:ind w:left="20" w:right="20" w:firstLine="700"/>
      </w:pPr>
      <w:r>
        <w:t xml:space="preserve">Они с увлечением берутся за те задачи, которые кажутся им фантастичными, волшебными - игры с превращениями, ведь из некрасивых кусочков им удается сложить знакомую фигуру. К тому же разнообразие подходов </w:t>
      </w:r>
      <w:r>
        <w:t xml:space="preserve">к решению задачи, </w:t>
      </w:r>
      <w:proofErr w:type="spellStart"/>
      <w:r>
        <w:t>многовариативность</w:t>
      </w:r>
      <w:proofErr w:type="spellEnd"/>
      <w:r>
        <w:t xml:space="preserve"> и исключение нарушений условий игрового действия дополнительно способствуют творческому процессу, что является одним из главных достоинств.</w:t>
      </w:r>
    </w:p>
    <w:p w:rsidR="00F024C4" w:rsidRDefault="00341345">
      <w:pPr>
        <w:pStyle w:val="1"/>
        <w:framePr w:h="231" w:vSpace="352" w:wrap="notBeside" w:vAnchor="text" w:hAnchor="margin" w:x="233" w:y="6268"/>
        <w:shd w:val="clear" w:color="auto" w:fill="auto"/>
        <w:spacing w:before="0" w:line="230" w:lineRule="exact"/>
        <w:ind w:left="100" w:firstLine="0"/>
        <w:jc w:val="left"/>
      </w:pPr>
      <w:r>
        <w:t>2. Сколько квадратов, прямоугольников, четырехугольников на рисунке?</w:t>
      </w:r>
    </w:p>
    <w:p w:rsidR="00F024C4" w:rsidRDefault="00341345">
      <w:pPr>
        <w:framePr w:w="6563" w:h="1087" w:vSpace="256" w:wrap="notBeside" w:vAnchor="text" w:hAnchor="margin" w:x="368" w:y="6668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</w:instrText>
      </w:r>
      <w:r>
        <w:instrText>CTURE  "D:\\РАБОТА_\\media\\image1.jpeg"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pt;height:54.4pt">
            <v:imagedata r:id="rId7" r:href="rId8"/>
          </v:shape>
        </w:pict>
      </w:r>
      <w:r>
        <w:fldChar w:fldCharType="end"/>
      </w:r>
    </w:p>
    <w:p w:rsidR="00F024C4" w:rsidRDefault="00341345">
      <w:pPr>
        <w:pStyle w:val="1"/>
        <w:shd w:val="clear" w:color="auto" w:fill="auto"/>
        <w:spacing w:before="0" w:after="217"/>
        <w:ind w:left="20" w:right="20" w:firstLine="360"/>
      </w:pPr>
      <w:r>
        <w:t xml:space="preserve">Играм на воссоздание предметов геометрической формы из частей предшествуют те игры и упражнения, которые направлены на умение выделять геометрические фигуры на рисунке, чертеже, в окружающей </w:t>
      </w:r>
      <w:r>
        <w:t>обстановке. Можно связать эти игры с формированием количественных представлений, со счетной деятельностью, предложив детям сосчитать общее количество фигур (Сколько кругов? Сколько треугольников? Каких фигур больше (меньше)?). Сначала целесообразно предлож</w:t>
      </w:r>
      <w:r>
        <w:t>ить те рисунки, которые составлены из геометрических фигур одной формы (елочка, снеговик, неваляшка), затем - нескольких форм (машина, домик). В этом случае ни одна геометрическая фигура не накладывается на другую, при этом не требуется особо глубокого ана</w:t>
      </w:r>
      <w:r>
        <w:t>лиза изображения. Затем можно предложить рисунки и чертежи более сложные, где одна фигура может состоять из нескольких фигур, включать в себя другие. Детям даются следующие задания: 1. Сосчитай, сколько на рисунке треугольников:</w:t>
      </w:r>
    </w:p>
    <w:p w:rsidR="00F024C4" w:rsidRDefault="00341345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"D:\\РАБОТ</w:instrText>
      </w:r>
      <w:r>
        <w:instrText>А_\\media\\image2.jpeg"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10.4pt;height:43.2pt">
            <v:imagedata r:id="rId9" r:href="rId10"/>
          </v:shape>
        </w:pict>
      </w:r>
      <w:r>
        <w:fldChar w:fldCharType="end"/>
      </w:r>
    </w:p>
    <w:p w:rsidR="00F024C4" w:rsidRDefault="00F024C4">
      <w:pPr>
        <w:rPr>
          <w:sz w:val="2"/>
          <w:szCs w:val="2"/>
        </w:rPr>
      </w:pPr>
    </w:p>
    <w:p w:rsidR="00F024C4" w:rsidRDefault="00341345">
      <w:pPr>
        <w:pStyle w:val="1"/>
        <w:shd w:val="clear" w:color="auto" w:fill="auto"/>
        <w:spacing w:before="28" w:line="407" w:lineRule="exact"/>
        <w:ind w:left="20" w:right="20" w:firstLine="360"/>
      </w:pPr>
      <w:r>
        <w:t>Для повышения интереса к таким играм можно предложить игру «Волшебные очки». Для игры нужно изготовить специальные очки со «стеклами» разной формы. Надев такие «волшебные очки» можно видеть предметы той форм</w:t>
      </w:r>
      <w:r>
        <w:t>ы, которая соответствует форме стекла.</w:t>
      </w:r>
    </w:p>
    <w:p w:rsidR="00F024C4" w:rsidRDefault="00341345">
      <w:pPr>
        <w:pStyle w:val="1"/>
        <w:shd w:val="clear" w:color="auto" w:fill="auto"/>
        <w:spacing w:before="0" w:line="439" w:lineRule="exact"/>
        <w:ind w:left="20" w:right="20" w:firstLine="360"/>
      </w:pPr>
      <w:r>
        <w:t>Выделение фигур в окружающей обстановке связано с определением формы предметов посредством их сравнения с геометрическими фигурами как сенсорными эталонами.</w:t>
      </w:r>
      <w:r>
        <w:br w:type="page"/>
      </w:r>
    </w:p>
    <w:p w:rsidR="00F024C4" w:rsidRDefault="00341345">
      <w:pPr>
        <w:pStyle w:val="1"/>
        <w:shd w:val="clear" w:color="auto" w:fill="auto"/>
        <w:spacing w:before="0"/>
        <w:ind w:right="20" w:firstLine="0"/>
      </w:pPr>
      <w:r>
        <w:lastRenderedPageBreak/>
        <w:t>Решению этой задачи способствуют такие игры, как «На что похоже», «Подбери по форме», «Помоги художнику». В игре «Помоги художнику» дети превращают с помощью цветного карандаша геометрические фигуры в какие-нибудь предметы, животных и т.п.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В младшей группе</w:t>
      </w:r>
      <w:r>
        <w:t xml:space="preserve"> детям предлагала игру «Составь фигуру», в которой они из отдельных геометрических фигур составляли робота, неваляшку, грузовую машину, птичку, елочку, цыпленка, часы, домик.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Составляя знакомые силуэты, дети одновременно упражнялись в счете, сравнении геом</w:t>
      </w:r>
      <w:r>
        <w:t>етрических фигур по величине.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После того, как дети научатся свободно решать вышеперечисленные задачи, можно переходить к более сложным, направленным на составление геометрических фигур из отдельных частей. К играм данного типа относятся такие известные игр</w:t>
      </w:r>
      <w:r>
        <w:t>ы, как «</w:t>
      </w:r>
      <w:proofErr w:type="spellStart"/>
      <w:r>
        <w:t>Танграм</w:t>
      </w:r>
      <w:proofErr w:type="spellEnd"/>
      <w:r>
        <w:t>», «</w:t>
      </w:r>
      <w:proofErr w:type="spellStart"/>
      <w:r>
        <w:t>Колумбово</w:t>
      </w:r>
      <w:proofErr w:type="spellEnd"/>
      <w:r>
        <w:t xml:space="preserve"> яйцо», «головоломка «Пифагор», «Пентамино», «Волшебный круг», «Вьетнамская игра», «Сложи квадрат» Б.П. Никитина и др.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Игры этой группы направлены на развитие умений работать по образцу: анализировать образец, выделяя его состав</w:t>
      </w:r>
      <w:r>
        <w:t>ные части (то есть геометрические фигуры), синтезировать части в целостный образ, тождественный образцу; они способствуют развитию пространственного воображения, логического и интуитивного мышления.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В своей работе на занятиях я использовала такие игры, как</w:t>
      </w:r>
      <w:r>
        <w:t xml:space="preserve"> «Сложи квадрат», «</w:t>
      </w:r>
      <w:proofErr w:type="spellStart"/>
      <w:r>
        <w:t>Танграм</w:t>
      </w:r>
      <w:proofErr w:type="spellEnd"/>
      <w:r>
        <w:t>». С этими играми знакомила детей, начиная со средней группы.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Игра «</w:t>
      </w:r>
      <w:proofErr w:type="spellStart"/>
      <w:r>
        <w:t>Танграм</w:t>
      </w:r>
      <w:proofErr w:type="spellEnd"/>
      <w:r>
        <w:t>», которую называют также «геометрическим конструктором», создана китайским ученым Та -</w:t>
      </w:r>
      <w:proofErr w:type="spellStart"/>
      <w:r>
        <w:t>Нг</w:t>
      </w:r>
      <w:proofErr w:type="spellEnd"/>
      <w:r>
        <w:t>, жившим несколько тысяч лет назад, и названа его именем.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Из опред</w:t>
      </w:r>
      <w:r>
        <w:t>еленного набора геометрических фигур (два больших треугольника, два - маленьких, один - средний, квадрат и четырехугольник) составляются не только различные геометрические фигуры, но и образные плоские фигуры, а из двух наборов можно составить сюжет.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Созда</w:t>
      </w:r>
      <w:r>
        <w:t xml:space="preserve">вая фигуры, надо учитывать следующие правила: в состав каждого силуэта должны входить все части игры, соединять их можно только по </w:t>
      </w:r>
      <w:proofErr w:type="spellStart"/>
      <w:r>
        <w:t>сторонбам</w:t>
      </w:r>
      <w:proofErr w:type="spellEnd"/>
      <w:r>
        <w:t>, не допуская наложения одной части на другую.</w:t>
      </w:r>
    </w:p>
    <w:p w:rsidR="00F024C4" w:rsidRDefault="00341345">
      <w:pPr>
        <w:pStyle w:val="1"/>
        <w:shd w:val="clear" w:color="auto" w:fill="auto"/>
        <w:spacing w:before="0"/>
        <w:ind w:right="20" w:firstLine="520"/>
      </w:pPr>
      <w:r>
        <w:t>В средней группе я познакомила детей с игрой: указала количество игро</w:t>
      </w:r>
      <w:r>
        <w:t>вых элементов, их форму, размер. После ознакомления с игрой перешли к практической деятельности - составлению из двух-трех имеющихся фигур - новой:</w:t>
      </w:r>
    </w:p>
    <w:p w:rsidR="00F024C4" w:rsidRDefault="00341345">
      <w:pPr>
        <w:pStyle w:val="1"/>
        <w:numPr>
          <w:ilvl w:val="0"/>
          <w:numId w:val="1"/>
        </w:numPr>
        <w:shd w:val="clear" w:color="auto" w:fill="auto"/>
        <w:tabs>
          <w:tab w:val="left" w:pos="794"/>
        </w:tabs>
        <w:spacing w:before="0"/>
        <w:ind w:left="520" w:right="20" w:firstLine="0"/>
        <w:jc w:val="left"/>
      </w:pPr>
      <w:r>
        <w:t>Из двух больших треугольников составить последовательно: квадрат, треугольник, четырехугольник.</w:t>
      </w:r>
    </w:p>
    <w:p w:rsidR="00F024C4" w:rsidRDefault="00341345">
      <w:pPr>
        <w:pStyle w:val="1"/>
        <w:numPr>
          <w:ilvl w:val="0"/>
          <w:numId w:val="1"/>
        </w:numPr>
        <w:shd w:val="clear" w:color="auto" w:fill="auto"/>
        <w:tabs>
          <w:tab w:val="left" w:pos="688"/>
        </w:tabs>
        <w:spacing w:before="0" w:line="450" w:lineRule="exact"/>
        <w:ind w:left="520" w:right="20" w:hanging="160"/>
        <w:jc w:val="left"/>
      </w:pPr>
      <w:r>
        <w:t>Из двух мале</w:t>
      </w:r>
      <w:r>
        <w:t>ньких треугольников составить те же фигуры, располагая их по-разному в пространстве.</w:t>
      </w:r>
    </w:p>
    <w:p w:rsidR="00C47E19" w:rsidRDefault="00341345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410" w:lineRule="exact"/>
        <w:ind w:left="20" w:firstLine="380"/>
      </w:pPr>
      <w:r>
        <w:lastRenderedPageBreak/>
        <w:t>Из большого и среднего треугольников составить четырехугольник.</w:t>
      </w:r>
    </w:p>
    <w:p w:rsidR="00F024C4" w:rsidRDefault="00341345">
      <w:pPr>
        <w:pStyle w:val="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410" w:lineRule="exact"/>
        <w:ind w:left="560" w:right="20"/>
        <w:jc w:val="left"/>
      </w:pPr>
      <w:r>
        <w:t>Составить новую фигуру из квадрата и двух маленьких треугольников (сначала квадрат, затем - четырехугольник).</w:t>
      </w:r>
    </w:p>
    <w:p w:rsidR="00F024C4" w:rsidRDefault="00341345">
      <w:pPr>
        <w:pStyle w:val="1"/>
        <w:shd w:val="clear" w:color="auto" w:fill="auto"/>
        <w:spacing w:before="0" w:line="410" w:lineRule="exact"/>
        <w:ind w:left="20" w:right="20" w:firstLine="380"/>
      </w:pPr>
      <w:r>
        <w:t>Задания можно изменять, предлагая детям составить новые фигуры по образцу, устному заданию, замыслу. Все они направлены на развитие у детей простр</w:t>
      </w:r>
      <w:r>
        <w:t>анственных представлений, элементов геометрического воображения, на выработку практических умений в составлении новых фигур путем присоединения одной из них к другой.</w:t>
      </w:r>
    </w:p>
    <w:p w:rsidR="00F024C4" w:rsidRDefault="00341345">
      <w:pPr>
        <w:pStyle w:val="1"/>
        <w:shd w:val="clear" w:color="auto" w:fill="auto"/>
        <w:spacing w:before="0" w:line="410" w:lineRule="exact"/>
        <w:ind w:left="20" w:right="20" w:firstLine="380"/>
      </w:pPr>
      <w:r>
        <w:t>Эти упражнения являются подготовительными ко второму этапу освоения игры - составлению фи</w:t>
      </w:r>
      <w:r>
        <w:t>гур-силуэтов по разделенным на части образцам. Этот этап является наиболее важным для усвоения в дальнейшем более сложных способов составления фигур.</w:t>
      </w:r>
    </w:p>
    <w:p w:rsidR="00F024C4" w:rsidRDefault="00341345">
      <w:pPr>
        <w:pStyle w:val="1"/>
        <w:shd w:val="clear" w:color="auto" w:fill="auto"/>
        <w:spacing w:before="0" w:line="410" w:lineRule="exact"/>
        <w:ind w:left="20" w:right="20" w:firstLine="380"/>
      </w:pPr>
      <w:r>
        <w:t>Упражнения по составлению фигур-силуэтов начинала с рассматривания вместе с детьми образца. Анализ располо</w:t>
      </w:r>
      <w:r>
        <w:t>жения фигур следует начинать с основной части (стены домика, туловища человека, животного), после этого отмечается строение остальных. Дети не только упражнялись в расположении той фигуры, которую нужно составить, но и приобщались к зрительному и мысленном</w:t>
      </w:r>
      <w:r>
        <w:t>у анализу образца. Здесь необходимо научить детей не только анализировать образец, но и словесно выражать способ соединения частей и их пространственное расположение.</w:t>
      </w:r>
    </w:p>
    <w:p w:rsidR="00F024C4" w:rsidRDefault="00341345">
      <w:pPr>
        <w:pStyle w:val="1"/>
        <w:shd w:val="clear" w:color="auto" w:fill="auto"/>
        <w:spacing w:before="0" w:line="410" w:lineRule="exact"/>
        <w:ind w:left="20" w:right="20" w:firstLine="700"/>
      </w:pPr>
      <w:r>
        <w:t>За анализом следует составление детьми силуэтов и сравнение их с образцом. К концу средне</w:t>
      </w:r>
      <w:r>
        <w:t>й группы почти все дети свободно выкладывали силуэты лисички, зайчика, домика, гуся, страуса, кенгуру, глядя на расчлененный образец. Эти игры вызывали у детей повышенный интерес.</w:t>
      </w:r>
    </w:p>
    <w:p w:rsidR="00F024C4" w:rsidRDefault="00341345">
      <w:pPr>
        <w:pStyle w:val="1"/>
        <w:shd w:val="clear" w:color="auto" w:fill="auto"/>
        <w:spacing w:before="0" w:line="410" w:lineRule="exact"/>
        <w:ind w:left="20" w:right="20" w:firstLine="700"/>
      </w:pPr>
      <w:r>
        <w:t>В старшем дошкольном возрасте я перешла к основному этапу - обучению детей с</w:t>
      </w:r>
      <w:r>
        <w:t xml:space="preserve">оставлению фигур по образцам контурного или силуэтного характера - нерасчлененным. Воссоздание фигур по контурным образцам требует </w:t>
      </w:r>
      <w:proofErr w:type="spellStart"/>
      <w:r>
        <w:t>зрительнбого</w:t>
      </w:r>
      <w:proofErr w:type="spellEnd"/>
      <w:r>
        <w:t xml:space="preserve"> разделения формы той или иной фигуры на составные части, то есть геометрические фигуры, из которых она составлен</w:t>
      </w:r>
      <w:r>
        <w:t>а. Каждый анализирует образец самостоятельно и высказывает предположение, которое необходимо проверить на практике. Можно предложить ребенку рассказать, как он будет составлять фигуру. Дети должны рассуждать, доказывать, опровергать.</w:t>
      </w:r>
    </w:p>
    <w:p w:rsidR="00F024C4" w:rsidRDefault="00341345">
      <w:pPr>
        <w:pStyle w:val="1"/>
        <w:shd w:val="clear" w:color="auto" w:fill="auto"/>
        <w:spacing w:before="0"/>
        <w:ind w:left="20" w:right="20" w:firstLine="700"/>
      </w:pPr>
      <w:r>
        <w:t>В дальнейшем дети сост</w:t>
      </w:r>
      <w:r>
        <w:t>авляют изображения по собственному замыслу. Создание силуэта на основе воображения представляет проблемную задачу для ребенка; при этом требуется отыскать единственно верный путь решения, отбросив неверные. Этому предшествует возникновение предположения, и</w:t>
      </w:r>
      <w:r>
        <w:t>деи, плана. Решение такого рода задач способствует развитию воображения, творческих способностей, навыков планирования действий, прогнозирования результата.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lastRenderedPageBreak/>
        <w:t>Детям подготовительной группы с целью развития творческих способностей можно предложить и более сло</w:t>
      </w:r>
      <w:r>
        <w:t>жные задания: составить из двух-трех наборов игры фигуру-силуэт по образцу или по собственному замыслу.</w:t>
      </w:r>
    </w:p>
    <w:p w:rsidR="00F024C4" w:rsidRDefault="00341345">
      <w:pPr>
        <w:pStyle w:val="1"/>
        <w:shd w:val="clear" w:color="auto" w:fill="auto"/>
        <w:spacing w:before="0"/>
        <w:ind w:right="20" w:firstLine="360"/>
      </w:pPr>
      <w:r>
        <w:t>Игру «</w:t>
      </w:r>
      <w:proofErr w:type="spellStart"/>
      <w:r>
        <w:t>Танграм</w:t>
      </w:r>
      <w:proofErr w:type="spellEnd"/>
      <w:r>
        <w:t>» я использовала как на занятиях по математике, так и в свободное от занятий время.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t>Дети также с удовольствием играли в такие игры, как «</w:t>
      </w:r>
      <w:proofErr w:type="spellStart"/>
      <w:r>
        <w:t>Колумбово</w:t>
      </w:r>
      <w:proofErr w:type="spellEnd"/>
      <w:r>
        <w:t xml:space="preserve"> яйцо», головоломки «Пифагор», «Архимед», и др., к которым имеют свободный доступ в «Уголке занимательной математики».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t>Интересными для детей играми, способствующими развитию навыков конструирова</w:t>
      </w:r>
      <w:r>
        <w:t xml:space="preserve">ния, являются такие игры, как четырехцветный «Квадрат </w:t>
      </w:r>
      <w:proofErr w:type="spellStart"/>
      <w:r>
        <w:t>Воскобовича</w:t>
      </w:r>
      <w:proofErr w:type="spellEnd"/>
      <w:r>
        <w:t>», развивающая игра «Прозрачная цифра», «Сложи узор» Б.П. Никитина, различные геометрические мозаики и конструкторы.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t>В своей работе на занятиях я использовала такие игры, как «Составь квадрат</w:t>
      </w:r>
      <w:r>
        <w:t>», «Составь круг», предложенные Б.П. Никитиным. Начинала я эту работу уже с младшей группы, с наиболее легких и посильных задач, когда ребенку даются образец и конверт с квадратом. Ребенок подбирает куски одного цвета и складывает квадрат. Затем число квад</w:t>
      </w:r>
      <w:r>
        <w:t>ратов разного цвета увеличивается. Квадраты, которые даются детям средней группы можно пронумеровать. Таким образом, в этой игре решается сразу несколько задач: развитие цветового восприятия, закрепление знания цифр и зрительный анализ формы, размера, проп</w:t>
      </w:r>
      <w:r>
        <w:t>орций частей. Ребенок сортирует, ищет их соотношение и способ составления фигур.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t>В старшем возрасте уже можно предложить составить из частей круги и квадраты. Это задание предполагает сложение геометрических фигур из частей, которые могут иметь при делении</w:t>
      </w:r>
      <w:r>
        <w:t xml:space="preserve"> сложную конфигурацию. Ребенку даются два-три разных набора, части которых перемешаны. Давая детям задание, можно использовать различные варианты, исходя из уровня развития ребенка.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t>Для развития логического мышления детей в старшем дошкольном возрасте я ис</w:t>
      </w:r>
      <w:r>
        <w:t>пользовала упражнения, основанные на анализе зависимости между парами фигур или группой фигур, «Как изменилась фигура?».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t xml:space="preserve">Данная зависимость выражена в трансформации фигур, изображенных на рисунках, карточках: изменением цвета, цвета, формы, расположения и </w:t>
      </w:r>
      <w:r>
        <w:t>пр.</w:t>
      </w:r>
    </w:p>
    <w:p w:rsidR="00F024C4" w:rsidRDefault="00341345">
      <w:pPr>
        <w:pStyle w:val="1"/>
        <w:shd w:val="clear" w:color="auto" w:fill="auto"/>
        <w:spacing w:before="0"/>
        <w:ind w:right="20" w:firstLine="700"/>
      </w:pPr>
      <w:r>
        <w:t>Ребенку даются образцы, на которых показаны модели изменения объектов. По аналогии с ними ребенок самостоятельно находит необходимую фигуру или объект, мысленно проанализировав образец.</w:t>
      </w:r>
    </w:p>
    <w:p w:rsidR="00F024C4" w:rsidRDefault="00341345">
      <w:pPr>
        <w:pStyle w:val="1"/>
        <w:shd w:val="clear" w:color="auto" w:fill="auto"/>
        <w:spacing w:before="0"/>
        <w:ind w:firstLine="700"/>
      </w:pPr>
      <w:r>
        <w:t>Виды трансформации, которые можно использовать:</w:t>
      </w:r>
    </w:p>
    <w:p w:rsidR="00F024C4" w:rsidRDefault="00341345">
      <w:pPr>
        <w:pStyle w:val="1"/>
        <w:shd w:val="clear" w:color="auto" w:fill="auto"/>
        <w:spacing w:before="0"/>
        <w:ind w:firstLine="700"/>
        <w:sectPr w:rsidR="00F024C4" w:rsidSect="00C47E19">
          <w:footerReference w:type="even" r:id="rId11"/>
          <w:type w:val="continuous"/>
          <w:pgSz w:w="11905" w:h="16837"/>
          <w:pgMar w:top="993" w:right="755" w:bottom="1134" w:left="1501" w:header="0" w:footer="3" w:gutter="0"/>
          <w:pgNumType w:start="33"/>
          <w:cols w:space="720"/>
          <w:noEndnote/>
          <w:docGrid w:linePitch="360"/>
        </w:sectPr>
      </w:pPr>
      <w:r>
        <w:t>1) изменение цвета;</w:t>
      </w:r>
    </w:p>
    <w:p w:rsidR="00F024C4" w:rsidRDefault="00341345">
      <w:pPr>
        <w:pStyle w:val="1"/>
        <w:numPr>
          <w:ilvl w:val="1"/>
          <w:numId w:val="1"/>
        </w:numPr>
        <w:shd w:val="clear" w:color="auto" w:fill="auto"/>
        <w:tabs>
          <w:tab w:val="left" w:pos="1400"/>
        </w:tabs>
        <w:spacing w:before="0" w:line="410" w:lineRule="exact"/>
        <w:ind w:left="340" w:firstLine="700"/>
      </w:pPr>
      <w:r>
        <w:lastRenderedPageBreak/>
        <w:t>изменение размера;</w:t>
      </w:r>
    </w:p>
    <w:p w:rsidR="00F024C4" w:rsidRDefault="00341345">
      <w:pPr>
        <w:pStyle w:val="1"/>
        <w:numPr>
          <w:ilvl w:val="1"/>
          <w:numId w:val="1"/>
        </w:numPr>
        <w:shd w:val="clear" w:color="auto" w:fill="auto"/>
        <w:tabs>
          <w:tab w:val="left" w:pos="1389"/>
        </w:tabs>
        <w:spacing w:before="0" w:line="410" w:lineRule="exact"/>
        <w:ind w:left="340" w:firstLine="700"/>
      </w:pPr>
      <w:r>
        <w:t>изменение количества частей или фигур;</w:t>
      </w:r>
    </w:p>
    <w:p w:rsidR="00F024C4" w:rsidRDefault="00341345">
      <w:pPr>
        <w:pStyle w:val="1"/>
        <w:numPr>
          <w:ilvl w:val="1"/>
          <w:numId w:val="1"/>
        </w:numPr>
        <w:shd w:val="clear" w:color="auto" w:fill="auto"/>
        <w:tabs>
          <w:tab w:val="left" w:pos="1396"/>
        </w:tabs>
        <w:spacing w:before="0" w:line="410" w:lineRule="exact"/>
        <w:ind w:left="340" w:firstLine="700"/>
      </w:pPr>
      <w:r>
        <w:t>трансформация контура путем убавления части или целой фигуры;</w:t>
      </w:r>
    </w:p>
    <w:p w:rsidR="00F024C4" w:rsidRDefault="00341345">
      <w:pPr>
        <w:pStyle w:val="1"/>
        <w:numPr>
          <w:ilvl w:val="1"/>
          <w:numId w:val="1"/>
        </w:numPr>
        <w:shd w:val="clear" w:color="auto" w:fill="auto"/>
        <w:tabs>
          <w:tab w:val="left" w:pos="1386"/>
        </w:tabs>
        <w:spacing w:before="0" w:line="410" w:lineRule="exact"/>
        <w:ind w:left="340" w:firstLine="700"/>
      </w:pPr>
      <w:r>
        <w:t>трансформация путем добавления:</w:t>
      </w:r>
    </w:p>
    <w:p w:rsidR="00F024C4" w:rsidRDefault="00341345">
      <w:pPr>
        <w:pStyle w:val="1"/>
        <w:numPr>
          <w:ilvl w:val="1"/>
          <w:numId w:val="1"/>
        </w:numPr>
        <w:shd w:val="clear" w:color="auto" w:fill="auto"/>
        <w:tabs>
          <w:tab w:val="left" w:pos="1389"/>
        </w:tabs>
        <w:spacing w:before="0" w:line="410" w:lineRule="exact"/>
        <w:ind w:left="340" w:firstLine="700"/>
      </w:pPr>
      <w:r>
        <w:t>изменение месторасположения фигур путем раздвижения частей или фигур;</w:t>
      </w:r>
    </w:p>
    <w:p w:rsidR="00F024C4" w:rsidRDefault="00341345">
      <w:pPr>
        <w:pStyle w:val="1"/>
        <w:numPr>
          <w:ilvl w:val="1"/>
          <w:numId w:val="1"/>
        </w:numPr>
        <w:shd w:val="clear" w:color="auto" w:fill="auto"/>
        <w:tabs>
          <w:tab w:val="left" w:pos="1396"/>
        </w:tabs>
        <w:spacing w:before="0" w:line="410" w:lineRule="exact"/>
        <w:ind w:left="340" w:firstLine="700"/>
      </w:pPr>
      <w:r>
        <w:t>изменение месторасположения путем наложения, соединения фигур;</w:t>
      </w:r>
    </w:p>
    <w:p w:rsidR="00F024C4" w:rsidRDefault="00341345">
      <w:pPr>
        <w:pStyle w:val="1"/>
        <w:numPr>
          <w:ilvl w:val="1"/>
          <w:numId w:val="1"/>
        </w:numPr>
        <w:shd w:val="clear" w:color="auto" w:fill="auto"/>
        <w:tabs>
          <w:tab w:val="left" w:pos="1389"/>
        </w:tabs>
        <w:spacing w:before="0" w:line="410" w:lineRule="exact"/>
        <w:ind w:left="340" w:firstLine="700"/>
      </w:pPr>
      <w:r>
        <w:t>изменение месторасположения ф</w:t>
      </w:r>
      <w:r>
        <w:t>игур путем разворота.</w:t>
      </w:r>
    </w:p>
    <w:p w:rsidR="00F024C4" w:rsidRDefault="00341345">
      <w:pPr>
        <w:pStyle w:val="1"/>
        <w:shd w:val="clear" w:color="auto" w:fill="auto"/>
        <w:spacing w:before="0" w:after="278" w:line="410" w:lineRule="exact"/>
        <w:ind w:left="340" w:right="740" w:firstLine="700"/>
      </w:pPr>
      <w:r>
        <w:t>В случае затруднения можно использовать карточки-ключи: ребенок должен внимательно рассмотреть карточку и определить характер изменения, подобрать нужную карточку-ответ. Характер изменений изображается на карточке-ключе символически.</w:t>
      </w:r>
    </w:p>
    <w:p w:rsidR="00F024C4" w:rsidRDefault="00341345">
      <w:pPr>
        <w:framePr w:wrap="notBeside" w:vAnchor="text" w:hAnchor="text" w:xAlign="center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"D:\\РАБОТА_\\media\\image3.jpeg" \* MERGEFORMATINET</w:instrText>
      </w:r>
      <w:r>
        <w:instrText xml:space="preserve"> </w:instrText>
      </w:r>
      <w:r>
        <w:fldChar w:fldCharType="separate"/>
      </w:r>
      <w:r w:rsidR="00C47E19">
        <w:pict>
          <v:shape id="_x0000_i1027" type="#_x0000_t75" style="width:524pt;height:510.4pt">
            <v:imagedata r:id="rId12" r:href="rId13"/>
          </v:shape>
        </w:pict>
      </w:r>
      <w:r>
        <w:fldChar w:fldCharType="end"/>
      </w:r>
    </w:p>
    <w:p w:rsidR="00F024C4" w:rsidRDefault="00F024C4">
      <w:pPr>
        <w:rPr>
          <w:sz w:val="2"/>
          <w:szCs w:val="2"/>
        </w:rPr>
      </w:pPr>
    </w:p>
    <w:p w:rsidR="00CC7499" w:rsidRDefault="00341345" w:rsidP="00CC7499">
      <w:pPr>
        <w:pStyle w:val="1"/>
        <w:shd w:val="clear" w:color="auto" w:fill="auto"/>
        <w:spacing w:before="0" w:line="418" w:lineRule="exact"/>
        <w:ind w:right="16" w:firstLine="0"/>
        <w:jc w:val="left"/>
      </w:pPr>
      <w:r>
        <w:t>Все эти упражнения направлены на развитие понимания и способности преобразования ситуации.</w:t>
      </w:r>
    </w:p>
    <w:p w:rsidR="00CC7499" w:rsidRPr="00CC7499" w:rsidRDefault="00CC7499" w:rsidP="00CC7499"/>
    <w:p w:rsidR="00CC7499" w:rsidRPr="00CC7499" w:rsidRDefault="00CC7499" w:rsidP="00CC7499"/>
    <w:p w:rsidR="00CC7499" w:rsidRPr="00CC7499" w:rsidRDefault="00CC7499" w:rsidP="00CC7499"/>
    <w:p w:rsidR="00CC7499" w:rsidRPr="00CC7499" w:rsidRDefault="00CC7499" w:rsidP="00CC7499"/>
    <w:p w:rsidR="00CC7499" w:rsidRPr="00CC7499" w:rsidRDefault="00CC7499" w:rsidP="00CC7499"/>
    <w:p w:rsidR="00CC7499" w:rsidRPr="00CC7499" w:rsidRDefault="00CC7499" w:rsidP="00CC7499"/>
    <w:p w:rsidR="00CC7499" w:rsidRPr="00CC7499" w:rsidRDefault="00CC7499" w:rsidP="00CC7499"/>
    <w:bookmarkEnd w:id="1"/>
    <w:p w:rsidR="00F024C4" w:rsidRPr="00CC7499" w:rsidRDefault="00F024C4" w:rsidP="00CC7499"/>
    <w:sectPr w:rsidR="00F024C4" w:rsidRPr="00CC7499" w:rsidSect="00CC7499">
      <w:footerReference w:type="even" r:id="rId14"/>
      <w:footerReference w:type="default" r:id="rId15"/>
      <w:type w:val="continuous"/>
      <w:pgSz w:w="11905" w:h="16837"/>
      <w:pgMar w:top="1182" w:right="565" w:bottom="1182" w:left="976" w:header="0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45" w:rsidRDefault="00341345">
      <w:r>
        <w:separator/>
      </w:r>
    </w:p>
  </w:endnote>
  <w:endnote w:type="continuationSeparator" w:id="0">
    <w:p w:rsidR="00341345" w:rsidRDefault="003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C4" w:rsidRDefault="00341345">
    <w:pPr>
      <w:pStyle w:val="Headerorfooter0"/>
      <w:framePr w:h="194" w:wrap="none" w:vAnchor="text" w:hAnchor="page" w:x="1477" w:y="-1233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CC7499" w:rsidRPr="00CC7499">
      <w:rPr>
        <w:rStyle w:val="Headerorfooter11pt"/>
        <w:noProof/>
      </w:rPr>
      <w:t>36</w:t>
    </w:r>
    <w:r>
      <w:rPr>
        <w:rStyle w:val="Headerorfooter11pt"/>
      </w:rPr>
      <w:fldChar w:fldCharType="end"/>
    </w:r>
  </w:p>
  <w:p w:rsidR="00F024C4" w:rsidRDefault="00F024C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477585"/>
      <w:docPartObj>
        <w:docPartGallery w:val="Page Numbers (Bottom of Page)"/>
        <w:docPartUnique/>
      </w:docPartObj>
    </w:sdtPr>
    <w:sdtContent>
      <w:p w:rsidR="00CC7499" w:rsidRDefault="00CC7499">
        <w:pPr>
          <w:pStyle w:val="a6"/>
          <w:jc w:val="right"/>
        </w:pPr>
        <w:r w:rsidRPr="00CC7499">
          <w:rPr>
            <w:rFonts w:ascii="Times New Roman" w:hAnsi="Times New Roman" w:cs="Times New Roman"/>
          </w:rPr>
          <w:fldChar w:fldCharType="begin"/>
        </w:r>
        <w:r w:rsidRPr="00CC7499">
          <w:rPr>
            <w:rFonts w:ascii="Times New Roman" w:hAnsi="Times New Roman" w:cs="Times New Roman"/>
          </w:rPr>
          <w:instrText>PAGE   \* MERGEFORMAT</w:instrText>
        </w:r>
        <w:r w:rsidRPr="00CC7499">
          <w:rPr>
            <w:rFonts w:ascii="Times New Roman" w:hAnsi="Times New Roman" w:cs="Times New Roman"/>
          </w:rPr>
          <w:fldChar w:fldCharType="separate"/>
        </w:r>
        <w:r w:rsidRPr="00CC7499">
          <w:rPr>
            <w:rFonts w:ascii="Times New Roman" w:hAnsi="Times New Roman" w:cs="Times New Roman"/>
            <w:noProof/>
            <w:lang w:val="ru-RU"/>
          </w:rPr>
          <w:t>38</w:t>
        </w:r>
        <w:r w:rsidRPr="00CC7499">
          <w:rPr>
            <w:rFonts w:ascii="Times New Roman" w:hAnsi="Times New Roman" w:cs="Times New Roman"/>
          </w:rPr>
          <w:fldChar w:fldCharType="end"/>
        </w:r>
      </w:p>
    </w:sdtContent>
  </w:sdt>
  <w:p w:rsidR="00F024C4" w:rsidRDefault="00F024C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C4" w:rsidRDefault="00341345">
    <w:pPr>
      <w:pStyle w:val="Headerorfooter0"/>
      <w:framePr w:h="194" w:wrap="none" w:vAnchor="text" w:hAnchor="page" w:x="1477" w:y="-1233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8A039A" w:rsidRPr="008A039A">
      <w:rPr>
        <w:rStyle w:val="Headerorfooter11pt"/>
        <w:noProof/>
      </w:rPr>
      <w:t>38</w:t>
    </w:r>
    <w:r>
      <w:rPr>
        <w:rStyle w:val="Headerorfooter11pt"/>
      </w:rPr>
      <w:fldChar w:fldCharType="end"/>
    </w:r>
  </w:p>
  <w:p w:rsidR="00F024C4" w:rsidRDefault="00F024C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45" w:rsidRDefault="00341345"/>
  </w:footnote>
  <w:footnote w:type="continuationSeparator" w:id="0">
    <w:p w:rsidR="00341345" w:rsidRDefault="003413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00EA"/>
    <w:multiLevelType w:val="multilevel"/>
    <w:tmpl w:val="8CAE8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24C4"/>
    <w:rsid w:val="00341345"/>
    <w:rsid w:val="008A039A"/>
    <w:rsid w:val="00C47E19"/>
    <w:rsid w:val="00CC7499"/>
    <w:rsid w:val="00F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8A6A1-F88B-4165-9C09-83665D09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660" w:line="414" w:lineRule="exact"/>
      <w:ind w:hanging="1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47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7E19"/>
    <w:rPr>
      <w:color w:val="000000"/>
    </w:rPr>
  </w:style>
  <w:style w:type="paragraph" w:styleId="a6">
    <w:name w:val="footer"/>
    <w:basedOn w:val="a"/>
    <w:link w:val="a7"/>
    <w:uiPriority w:val="99"/>
    <w:unhideWhenUsed/>
    <w:rsid w:val="00C47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7E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Озалайнен</cp:lastModifiedBy>
  <cp:revision>4</cp:revision>
  <dcterms:created xsi:type="dcterms:W3CDTF">2015-11-17T20:39:00Z</dcterms:created>
  <dcterms:modified xsi:type="dcterms:W3CDTF">2015-11-17T20:52:00Z</dcterms:modified>
</cp:coreProperties>
</file>