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2" w:rsidRPr="00A62D51" w:rsidRDefault="00EF01D2" w:rsidP="00475517">
      <w:pPr>
        <w:pStyle w:val="1"/>
        <w:jc w:val="center"/>
        <w:rPr>
          <w:rFonts w:ascii="Monotype Corsiva" w:hAnsi="Monotype Corsiva"/>
          <w:color w:val="auto"/>
          <w:sz w:val="72"/>
          <w:szCs w:val="72"/>
        </w:rPr>
      </w:pPr>
      <w:r w:rsidRPr="00A62D51">
        <w:rPr>
          <w:rFonts w:ascii="Monotype Corsiva" w:hAnsi="Monotype Corsiva"/>
          <w:color w:val="auto"/>
          <w:sz w:val="72"/>
          <w:szCs w:val="72"/>
        </w:rPr>
        <w:t>Возрастные особенности психического развития детей 2-3 лет</w:t>
      </w:r>
      <w:r w:rsidR="00475517" w:rsidRPr="00A62D51">
        <w:rPr>
          <w:rFonts w:ascii="Monotype Corsiva" w:hAnsi="Monotype Corsiva"/>
          <w:color w:val="auto"/>
          <w:sz w:val="72"/>
          <w:szCs w:val="72"/>
        </w:rPr>
        <w:t>.</w:t>
      </w:r>
      <w:bookmarkStart w:id="0" w:name="_GoBack"/>
      <w:bookmarkEnd w:id="0"/>
    </w:p>
    <w:p w:rsidR="00475517" w:rsidRPr="00A62D51" w:rsidRDefault="00475517" w:rsidP="00475517">
      <w:pPr>
        <w:rPr>
          <w:color w:val="auto"/>
        </w:rPr>
      </w:pP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color w:val="auto"/>
          <w:sz w:val="28"/>
          <w:szCs w:val="28"/>
        </w:rPr>
        <w:t>На третьем году жизни ребёнок становится самостоятельнее. Продолжает развиваться предметная деятельность, ситуативно-дело</w:t>
      </w:r>
      <w:r w:rsidR="00475517" w:rsidRPr="00A62D51">
        <w:rPr>
          <w:rFonts w:asciiTheme="majorHAnsi" w:hAnsiTheme="majorHAnsi" w:cstheme="majorHAnsi"/>
          <w:color w:val="auto"/>
          <w:sz w:val="28"/>
          <w:szCs w:val="28"/>
        </w:rPr>
        <w:t>вое общение ребёнка и взрослого,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 совершенствуются восприятие, речь, начальные формы произвольного поведения, игры, наглядно-действенное мышление. </w:t>
      </w: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Развитие предметной деятельности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 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>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</w:t>
      </w: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 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 xml:space="preserve">Речь. 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</w:t>
      </w: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Игра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. Игра 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 </w:t>
      </w: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 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Изобразительная деятельность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>. Появление собственно изобразительной деятельности обусловлено тем, что ребёнок уже способен сформулировать намерение изобразить как-либо предмет. Типичным является изображение человека в виде «</w:t>
      </w:r>
      <w:proofErr w:type="spellStart"/>
      <w:r w:rsidRPr="00A62D51">
        <w:rPr>
          <w:rFonts w:asciiTheme="majorHAnsi" w:hAnsiTheme="majorHAnsi" w:cstheme="majorHAnsi"/>
          <w:color w:val="auto"/>
          <w:sz w:val="28"/>
          <w:szCs w:val="28"/>
        </w:rPr>
        <w:t>головонога</w:t>
      </w:r>
      <w:proofErr w:type="spellEnd"/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» - окружности и отходящих от неё линий. 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 </w:t>
      </w:r>
    </w:p>
    <w:p w:rsidR="00475517" w:rsidRPr="00A62D51" w:rsidRDefault="00A62D51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Зрительное </w:t>
      </w:r>
      <w:r w:rsidR="00EF01D2"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и слуховое ориентирование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>. К </w:t>
      </w:r>
      <w:r w:rsidR="00EF01D2"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 </w:t>
      </w:r>
    </w:p>
    <w:p w:rsidR="00475517" w:rsidRPr="00A62D51" w:rsidRDefault="00EF01D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 xml:space="preserve">  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Слуховое восприятие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>. Совершенствуется слуховое восприятие, прежде всего фонематический слух. К 3-м годам дети воспринимают все звуки родного языка, но произносят их</w:t>
      </w:r>
      <w:r w:rsidR="00475517"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 с большими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 искажениями.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  <w:t> </w:t>
      </w:r>
    </w:p>
    <w:p w:rsidR="00057CE2" w:rsidRPr="00A62D51" w:rsidRDefault="00057CE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</w:p>
    <w:p w:rsidR="00057CE2" w:rsidRPr="00A62D51" w:rsidRDefault="00057CE2" w:rsidP="00057CE2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</w:p>
    <w:p w:rsidR="00A62D51" w:rsidRPr="00A62D51" w:rsidRDefault="00EF01D2" w:rsidP="00A62D51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 Мышление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>. Основной формой мышления становится наглядно-действенная.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</w:t>
      </w:r>
    </w:p>
    <w:p w:rsidR="00A62D51" w:rsidRPr="00A62D51" w:rsidRDefault="00EF01D2" w:rsidP="00A62D51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</w:r>
      <w:r w:rsidRPr="00A62D5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val="single"/>
        </w:rPr>
        <w:t>начинает складываться и произвольность поведения</w:t>
      </w:r>
      <w:r w:rsidRPr="00A62D51">
        <w:rPr>
          <w:rFonts w:asciiTheme="majorHAnsi" w:hAnsiTheme="majorHAnsi" w:cstheme="majorHAnsi"/>
          <w:i/>
          <w:iCs/>
          <w:color w:val="auto"/>
          <w:sz w:val="28"/>
          <w:szCs w:val="28"/>
          <w:u w:val="single"/>
        </w:rPr>
        <w:t>. </w:t>
      </w:r>
      <w:r w:rsidRPr="00A62D51">
        <w:rPr>
          <w:rFonts w:asciiTheme="majorHAnsi" w:hAnsiTheme="majorHAnsi" w:cstheme="majorHAnsi"/>
          <w:color w:val="auto"/>
          <w:sz w:val="28"/>
          <w:szCs w:val="28"/>
        </w:rPr>
        <w:t xml:space="preserve">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</w:t>
      </w:r>
    </w:p>
    <w:p w:rsidR="00EF01D2" w:rsidRPr="00A62D51" w:rsidRDefault="00EF01D2" w:rsidP="00A62D51">
      <w:pPr>
        <w:widowControl w:val="0"/>
        <w:spacing w:after="195" w:line="312" w:lineRule="exact"/>
        <w:ind w:left="397" w:firstLine="180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color w:val="auto"/>
          <w:sz w:val="28"/>
          <w:szCs w:val="28"/>
        </w:rPr>
        <w:t>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со взрослым, упрямством и др. кризис может продолжаться от нескольких месяцев до двух лет.</w:t>
      </w:r>
    </w:p>
    <w:p w:rsidR="00EF01D2" w:rsidRPr="00A62D51" w:rsidRDefault="00EF01D2" w:rsidP="00057CE2">
      <w:pPr>
        <w:widowControl w:val="0"/>
        <w:ind w:left="397"/>
        <w:rPr>
          <w:rFonts w:asciiTheme="majorHAnsi" w:hAnsiTheme="majorHAnsi" w:cstheme="majorHAnsi"/>
          <w:color w:val="auto"/>
          <w:sz w:val="28"/>
          <w:szCs w:val="28"/>
        </w:rPr>
      </w:pPr>
      <w:r w:rsidRPr="00A62D51">
        <w:rPr>
          <w:rFonts w:asciiTheme="majorHAnsi" w:hAnsiTheme="majorHAnsi" w:cstheme="majorHAnsi"/>
          <w:color w:val="auto"/>
          <w:sz w:val="28"/>
          <w:szCs w:val="28"/>
        </w:rPr>
        <w:t> </w:t>
      </w:r>
    </w:p>
    <w:p w:rsidR="00A07802" w:rsidRPr="00A62D51" w:rsidRDefault="00A07802" w:rsidP="00057CE2">
      <w:pPr>
        <w:ind w:left="397"/>
        <w:rPr>
          <w:color w:val="auto"/>
        </w:rPr>
      </w:pPr>
    </w:p>
    <w:sectPr w:rsidR="00A07802" w:rsidRPr="00A62D51" w:rsidSect="00A62D51">
      <w:pgSz w:w="11906" w:h="16838"/>
      <w:pgMar w:top="709" w:right="850" w:bottom="1134" w:left="567" w:header="708" w:footer="708" w:gutter="0"/>
      <w:pgBorders w:offsetFrom="page">
        <w:top w:val="papyrus" w:sz="22" w:space="24" w:color="auto"/>
        <w:left w:val="papyrus" w:sz="22" w:space="24" w:color="auto"/>
        <w:bottom w:val="papyrus" w:sz="22" w:space="24" w:color="auto"/>
        <w:right w:val="papyru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1D2"/>
    <w:rsid w:val="00057CE2"/>
    <w:rsid w:val="002F601D"/>
    <w:rsid w:val="00463366"/>
    <w:rsid w:val="00475517"/>
    <w:rsid w:val="005D255E"/>
    <w:rsid w:val="00A07802"/>
    <w:rsid w:val="00A62D51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7AEB-EDF8-487D-932F-34C87A2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1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DE5A-FF75-4AC4-BB31-AED4AC7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dns-shop.ru</cp:lastModifiedBy>
  <cp:revision>7</cp:revision>
  <dcterms:created xsi:type="dcterms:W3CDTF">2013-09-11T16:55:00Z</dcterms:created>
  <dcterms:modified xsi:type="dcterms:W3CDTF">2015-11-23T14:29:00Z</dcterms:modified>
</cp:coreProperties>
</file>