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96" w:rsidRPr="00B45096" w:rsidRDefault="00B45096" w:rsidP="00B45096">
      <w:pPr>
        <w:spacing w:after="0"/>
        <w:jc w:val="center"/>
        <w:rPr>
          <w:b/>
          <w:sz w:val="24"/>
          <w:szCs w:val="24"/>
        </w:rPr>
      </w:pPr>
      <w:r w:rsidRPr="00B45096">
        <w:rPr>
          <w:b/>
          <w:sz w:val="24"/>
          <w:szCs w:val="24"/>
        </w:rPr>
        <w:t>Позитивная динамика учебных достижений</w:t>
      </w:r>
    </w:p>
    <w:p w:rsidR="00B45096" w:rsidRPr="00B45096" w:rsidRDefault="00B45096" w:rsidP="00B45096">
      <w:pPr>
        <w:spacing w:after="0"/>
        <w:jc w:val="center"/>
        <w:rPr>
          <w:b/>
          <w:sz w:val="24"/>
          <w:szCs w:val="24"/>
        </w:rPr>
      </w:pPr>
      <w:r w:rsidRPr="00B45096">
        <w:rPr>
          <w:b/>
          <w:sz w:val="24"/>
          <w:szCs w:val="24"/>
        </w:rPr>
        <w:t>Таблицы диагностики качества знаний учащихся за  2012- 2013 гг.</w:t>
      </w:r>
    </w:p>
    <w:p w:rsidR="00B45096" w:rsidRPr="00B45096" w:rsidRDefault="00B45096" w:rsidP="00B45096">
      <w:pPr>
        <w:spacing w:after="0"/>
        <w:jc w:val="center"/>
        <w:rPr>
          <w:b/>
          <w:sz w:val="24"/>
          <w:szCs w:val="24"/>
        </w:rPr>
      </w:pPr>
      <w:r w:rsidRPr="00B45096">
        <w:rPr>
          <w:b/>
          <w:sz w:val="24"/>
          <w:szCs w:val="24"/>
        </w:rPr>
        <w:t>Сводная ведомость годовых оценок. Русский язык</w:t>
      </w:r>
    </w:p>
    <w:p w:rsidR="00B45096" w:rsidRPr="00B45096" w:rsidRDefault="00B45096" w:rsidP="00B45096">
      <w:pPr>
        <w:spacing w:after="0"/>
        <w:rPr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1449"/>
        <w:gridCol w:w="1523"/>
        <w:gridCol w:w="4224"/>
        <w:gridCol w:w="2375"/>
      </w:tblGrid>
      <w:tr w:rsidR="00390233" w:rsidRPr="00B45096" w:rsidTr="00390233">
        <w:trPr>
          <w:trHeight w:val="305"/>
        </w:trPr>
        <w:tc>
          <w:tcPr>
            <w:tcW w:w="1449" w:type="dxa"/>
            <w:tcBorders>
              <w:right w:val="nil"/>
            </w:tcBorders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375" w:type="dxa"/>
            <w:tcBorders>
              <w:left w:val="nil"/>
            </w:tcBorders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449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100</w:t>
            </w: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B4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B4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375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375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375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B45096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375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449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096" w:rsidRPr="00B45096" w:rsidRDefault="00B45096" w:rsidP="00B45096">
      <w:pPr>
        <w:rPr>
          <w:sz w:val="24"/>
          <w:szCs w:val="24"/>
        </w:rPr>
      </w:pPr>
      <w:r w:rsidRPr="00B45096">
        <w:rPr>
          <w:noProof/>
          <w:color w:val="000000"/>
          <w:sz w:val="24"/>
          <w:szCs w:val="24"/>
        </w:rPr>
        <w:drawing>
          <wp:inline distT="0" distB="0" distL="0" distR="0">
            <wp:extent cx="6271404" cy="1940943"/>
            <wp:effectExtent l="19050" t="0" r="15096" b="2157"/>
            <wp:docPr id="1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5096" w:rsidRDefault="00B45096" w:rsidP="00B45096">
      <w:pPr>
        <w:jc w:val="center"/>
        <w:rPr>
          <w:b/>
          <w:sz w:val="24"/>
          <w:szCs w:val="24"/>
        </w:rPr>
      </w:pPr>
    </w:p>
    <w:p w:rsidR="00B45096" w:rsidRDefault="00B45096" w:rsidP="00B45096">
      <w:pPr>
        <w:jc w:val="center"/>
        <w:rPr>
          <w:b/>
          <w:sz w:val="24"/>
          <w:szCs w:val="24"/>
        </w:rPr>
      </w:pPr>
      <w:r w:rsidRPr="00B45096">
        <w:rPr>
          <w:b/>
          <w:sz w:val="24"/>
          <w:szCs w:val="24"/>
        </w:rPr>
        <w:lastRenderedPageBreak/>
        <w:drawing>
          <wp:inline distT="0" distB="0" distL="0" distR="0">
            <wp:extent cx="5940425" cy="1838508"/>
            <wp:effectExtent l="0" t="0" r="0" b="0"/>
            <wp:docPr id="3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096" w:rsidRDefault="00B45096" w:rsidP="00B45096">
      <w:pPr>
        <w:jc w:val="center"/>
        <w:rPr>
          <w:b/>
          <w:sz w:val="24"/>
          <w:szCs w:val="24"/>
        </w:rPr>
      </w:pPr>
    </w:p>
    <w:p w:rsidR="00B45096" w:rsidRPr="00B45096" w:rsidRDefault="00B45096" w:rsidP="00B45096">
      <w:pPr>
        <w:jc w:val="center"/>
        <w:rPr>
          <w:b/>
          <w:sz w:val="24"/>
          <w:szCs w:val="24"/>
        </w:rPr>
      </w:pPr>
      <w:r w:rsidRPr="00B45096">
        <w:rPr>
          <w:b/>
          <w:sz w:val="24"/>
          <w:szCs w:val="24"/>
        </w:rPr>
        <w:t>Сводная ведомость годовых оценок. Литература.</w:t>
      </w:r>
    </w:p>
    <w:tbl>
      <w:tblPr>
        <w:tblStyle w:val="a3"/>
        <w:tblW w:w="9571" w:type="dxa"/>
        <w:tblLook w:val="04A0"/>
      </w:tblPr>
      <w:tblGrid>
        <w:gridCol w:w="1352"/>
        <w:gridCol w:w="1523"/>
        <w:gridCol w:w="4604"/>
        <w:gridCol w:w="2092"/>
      </w:tblGrid>
      <w:tr w:rsidR="00390233" w:rsidRPr="00B45096" w:rsidTr="00390233">
        <w:trPr>
          <w:trHeight w:val="305"/>
        </w:trPr>
        <w:tc>
          <w:tcPr>
            <w:tcW w:w="1352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612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92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100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612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92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612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92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612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92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  <w:tcBorders>
              <w:righ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B4509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</w:t>
            </w:r>
            <w:r w:rsidRPr="00B45096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2092" w:type="dxa"/>
            <w:tcBorders>
              <w:left w:val="nil"/>
            </w:tcBorders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576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обученности</w:t>
            </w: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 w:rsidRPr="00B45096">
              <w:rPr>
                <w:sz w:val="24"/>
                <w:szCs w:val="24"/>
              </w:rPr>
              <w:t>% качества</w:t>
            </w: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  <w:tr w:rsidR="00390233" w:rsidRPr="00B45096" w:rsidTr="00390233">
        <w:trPr>
          <w:trHeight w:val="305"/>
        </w:trPr>
        <w:tc>
          <w:tcPr>
            <w:tcW w:w="1352" w:type="dxa"/>
          </w:tcPr>
          <w:p w:rsidR="00390233" w:rsidRDefault="00390233" w:rsidP="006B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90233" w:rsidRPr="00B45096" w:rsidRDefault="00390233" w:rsidP="006B7D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096" w:rsidRPr="00B45096" w:rsidRDefault="00B45096" w:rsidP="00B45096">
      <w:pPr>
        <w:rPr>
          <w:sz w:val="24"/>
          <w:szCs w:val="24"/>
        </w:rPr>
      </w:pPr>
    </w:p>
    <w:p w:rsidR="00B45096" w:rsidRPr="00B45096" w:rsidRDefault="00B45096" w:rsidP="00B45096">
      <w:pPr>
        <w:rPr>
          <w:sz w:val="24"/>
          <w:szCs w:val="24"/>
        </w:rPr>
      </w:pPr>
    </w:p>
    <w:p w:rsidR="00B45096" w:rsidRPr="00B45096" w:rsidRDefault="00390233" w:rsidP="00B45096">
      <w:pPr>
        <w:rPr>
          <w:sz w:val="24"/>
          <w:szCs w:val="24"/>
        </w:rPr>
      </w:pPr>
      <w:r w:rsidRPr="00390233">
        <w:rPr>
          <w:sz w:val="24"/>
          <w:szCs w:val="24"/>
        </w:rPr>
        <w:lastRenderedPageBreak/>
        <w:drawing>
          <wp:inline distT="0" distB="0" distL="0" distR="0">
            <wp:extent cx="5940425" cy="1838508"/>
            <wp:effectExtent l="0" t="0" r="0" b="0"/>
            <wp:docPr id="4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096" w:rsidRPr="00B45096" w:rsidRDefault="00B45096" w:rsidP="00B45096">
      <w:pPr>
        <w:rPr>
          <w:sz w:val="24"/>
          <w:szCs w:val="24"/>
        </w:rPr>
      </w:pPr>
    </w:p>
    <w:p w:rsidR="00B45096" w:rsidRPr="00B45096" w:rsidRDefault="00390233" w:rsidP="00B45096">
      <w:pPr>
        <w:rPr>
          <w:b/>
          <w:sz w:val="24"/>
          <w:szCs w:val="24"/>
        </w:rPr>
      </w:pPr>
      <w:r w:rsidRPr="00390233">
        <w:rPr>
          <w:b/>
          <w:sz w:val="24"/>
          <w:szCs w:val="24"/>
        </w:rPr>
        <w:drawing>
          <wp:inline distT="0" distB="0" distL="0" distR="0">
            <wp:extent cx="5940425" cy="1838508"/>
            <wp:effectExtent l="0" t="0" r="0" b="0"/>
            <wp:docPr id="5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096" w:rsidRPr="00B45096" w:rsidRDefault="00B45096" w:rsidP="00B45096">
      <w:pPr>
        <w:rPr>
          <w:sz w:val="24"/>
          <w:szCs w:val="24"/>
        </w:rPr>
      </w:pPr>
    </w:p>
    <w:p w:rsidR="002354BF" w:rsidRPr="00B45096" w:rsidRDefault="002354BF">
      <w:pPr>
        <w:rPr>
          <w:sz w:val="24"/>
          <w:szCs w:val="24"/>
        </w:rPr>
      </w:pPr>
    </w:p>
    <w:sectPr w:rsidR="002354BF" w:rsidRPr="00B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BF" w:rsidRDefault="002354BF" w:rsidP="00B45096">
      <w:pPr>
        <w:spacing w:after="0" w:line="240" w:lineRule="auto"/>
      </w:pPr>
      <w:r>
        <w:separator/>
      </w:r>
    </w:p>
  </w:endnote>
  <w:endnote w:type="continuationSeparator" w:id="1">
    <w:p w:rsidR="002354BF" w:rsidRDefault="002354BF" w:rsidP="00B4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BF" w:rsidRDefault="002354BF" w:rsidP="00B45096">
      <w:pPr>
        <w:spacing w:after="0" w:line="240" w:lineRule="auto"/>
      </w:pPr>
      <w:r>
        <w:separator/>
      </w:r>
    </w:p>
  </w:footnote>
  <w:footnote w:type="continuationSeparator" w:id="1">
    <w:p w:rsidR="002354BF" w:rsidRDefault="002354BF" w:rsidP="00B4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96"/>
    <w:rsid w:val="002354BF"/>
    <w:rsid w:val="00390233"/>
    <w:rsid w:val="00B4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096"/>
  </w:style>
  <w:style w:type="paragraph" w:styleId="a8">
    <w:name w:val="footer"/>
    <w:basedOn w:val="a"/>
    <w:link w:val="a9"/>
    <w:uiPriority w:val="99"/>
    <w:semiHidden/>
    <w:unhideWhenUsed/>
    <w:rsid w:val="00B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139931740614413E-2"/>
          <c:y val="7.6923076923077024E-2"/>
          <c:w val="0.6433447098976105"/>
          <c:h val="0.752136752136752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46</c:v>
                </c:pt>
                <c:pt idx="2">
                  <c:v>40.200000000000003</c:v>
                </c:pt>
                <c:pt idx="3">
                  <c:v>40.200000000000003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993366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17862784"/>
        <c:axId val="117879168"/>
        <c:axId val="0"/>
      </c:bar3DChart>
      <c:catAx>
        <c:axId val="117862784"/>
        <c:scaling>
          <c:orientation val="minMax"/>
        </c:scaling>
        <c:axPos val="b"/>
        <c:numFmt formatCode="General" sourceLinked="1"/>
        <c:tickLblPos val="low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879168"/>
        <c:crosses val="autoZero"/>
        <c:auto val="1"/>
        <c:lblAlgn val="ctr"/>
        <c:lblOffset val="100"/>
        <c:tickLblSkip val="1"/>
        <c:tickMarkSkip val="1"/>
      </c:catAx>
      <c:valAx>
        <c:axId val="117879168"/>
        <c:scaling>
          <c:orientation val="minMax"/>
        </c:scaling>
        <c:axPos val="l"/>
        <c:majorGridlines>
          <c:spPr>
            <a:ln w="25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862784"/>
        <c:crosses val="autoZero"/>
        <c:crossBetween val="between"/>
      </c:valAx>
      <c:spPr>
        <a:noFill/>
        <a:ln w="20206">
          <a:noFill/>
        </a:ln>
      </c:spPr>
    </c:plotArea>
    <c:legend>
      <c:legendPos val="r"/>
      <c:layout>
        <c:manualLayout>
          <c:xMode val="edge"/>
          <c:yMode val="edge"/>
          <c:x val="0.72525597269624575"/>
          <c:y val="0.35897435897436147"/>
          <c:w val="0.17138522729519579"/>
          <c:h val="0.2952018683701686"/>
        </c:manualLayout>
      </c:layout>
      <c:spPr>
        <a:noFill/>
        <a:ln w="2526">
          <a:solidFill>
            <a:srgbClr val="000000"/>
          </a:solidFill>
          <a:prstDash val="solid"/>
        </a:ln>
      </c:spPr>
      <c:txPr>
        <a:bodyPr/>
        <a:lstStyle/>
        <a:p>
          <a:pPr>
            <a:defRPr sz="7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139931740614413E-2"/>
          <c:y val="7.6923076923077024E-2"/>
          <c:w val="0.6433447098976105"/>
          <c:h val="0.752136752136752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993366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47220736"/>
        <c:axId val="147261312"/>
        <c:axId val="0"/>
      </c:bar3DChart>
      <c:catAx>
        <c:axId val="147220736"/>
        <c:scaling>
          <c:orientation val="minMax"/>
        </c:scaling>
        <c:axPos val="b"/>
        <c:numFmt formatCode="General" sourceLinked="1"/>
        <c:tickLblPos val="low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261312"/>
        <c:crosses val="autoZero"/>
        <c:auto val="1"/>
        <c:lblAlgn val="ctr"/>
        <c:lblOffset val="100"/>
        <c:tickLblSkip val="1"/>
        <c:tickMarkSkip val="1"/>
      </c:catAx>
      <c:valAx>
        <c:axId val="147261312"/>
        <c:scaling>
          <c:orientation val="minMax"/>
        </c:scaling>
        <c:axPos val="l"/>
        <c:majorGridlines>
          <c:spPr>
            <a:ln w="25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220736"/>
        <c:crosses val="autoZero"/>
        <c:crossBetween val="between"/>
      </c:valAx>
      <c:spPr>
        <a:noFill/>
        <a:ln w="20206">
          <a:noFill/>
        </a:ln>
      </c:spPr>
    </c:plotArea>
    <c:legend>
      <c:legendPos val="r"/>
      <c:layout>
        <c:manualLayout>
          <c:xMode val="edge"/>
          <c:yMode val="edge"/>
          <c:x val="0.72525597269624575"/>
          <c:y val="0.35897435897436164"/>
          <c:w val="0.17138522729519579"/>
          <c:h val="0.29520186837016871"/>
        </c:manualLayout>
      </c:layout>
      <c:spPr>
        <a:noFill/>
        <a:ln w="2526">
          <a:solidFill>
            <a:srgbClr val="000000"/>
          </a:solidFill>
          <a:prstDash val="solid"/>
        </a:ln>
      </c:spPr>
      <c:txPr>
        <a:bodyPr/>
        <a:lstStyle/>
        <a:p>
          <a:pPr>
            <a:defRPr sz="7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139931740614413E-2"/>
          <c:y val="7.6923076923077024E-2"/>
          <c:w val="0.6433447098976105"/>
          <c:h val="0.752136752136752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46</c:v>
                </c:pt>
                <c:pt idx="2">
                  <c:v>40.200000000000003</c:v>
                </c:pt>
                <c:pt idx="3">
                  <c:v>40.200000000000003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993366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52237568"/>
        <c:axId val="152518656"/>
        <c:axId val="0"/>
      </c:bar3DChart>
      <c:catAx>
        <c:axId val="152237568"/>
        <c:scaling>
          <c:orientation val="minMax"/>
        </c:scaling>
        <c:axPos val="b"/>
        <c:numFmt formatCode="General" sourceLinked="1"/>
        <c:tickLblPos val="low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518656"/>
        <c:crosses val="autoZero"/>
        <c:auto val="1"/>
        <c:lblAlgn val="ctr"/>
        <c:lblOffset val="100"/>
        <c:tickLblSkip val="1"/>
        <c:tickMarkSkip val="1"/>
      </c:catAx>
      <c:valAx>
        <c:axId val="152518656"/>
        <c:scaling>
          <c:orientation val="minMax"/>
        </c:scaling>
        <c:axPos val="l"/>
        <c:majorGridlines>
          <c:spPr>
            <a:ln w="25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237568"/>
        <c:crosses val="autoZero"/>
        <c:crossBetween val="between"/>
      </c:valAx>
      <c:spPr>
        <a:noFill/>
        <a:ln w="20206">
          <a:noFill/>
        </a:ln>
      </c:spPr>
    </c:plotArea>
    <c:legend>
      <c:legendPos val="r"/>
      <c:layout>
        <c:manualLayout>
          <c:xMode val="edge"/>
          <c:yMode val="edge"/>
          <c:x val="0.72525597269624575"/>
          <c:y val="0.35897435897436164"/>
          <c:w val="0.17138522729519579"/>
          <c:h val="0.29520186837016871"/>
        </c:manualLayout>
      </c:layout>
      <c:spPr>
        <a:noFill/>
        <a:ln w="2526">
          <a:solidFill>
            <a:srgbClr val="000000"/>
          </a:solidFill>
          <a:prstDash val="solid"/>
        </a:ln>
      </c:spPr>
      <c:txPr>
        <a:bodyPr/>
        <a:lstStyle/>
        <a:p>
          <a:pPr>
            <a:defRPr sz="7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139931740614413E-2"/>
          <c:y val="7.6923076923077024E-2"/>
          <c:w val="0.6433447098976105"/>
          <c:h val="0.752136752136752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993366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2012/2013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52739840"/>
        <c:axId val="152742912"/>
        <c:axId val="0"/>
      </c:bar3DChart>
      <c:catAx>
        <c:axId val="152739840"/>
        <c:scaling>
          <c:orientation val="minMax"/>
        </c:scaling>
        <c:axPos val="b"/>
        <c:numFmt formatCode="General" sourceLinked="1"/>
        <c:tickLblPos val="low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742912"/>
        <c:crosses val="autoZero"/>
        <c:auto val="1"/>
        <c:lblAlgn val="ctr"/>
        <c:lblOffset val="100"/>
        <c:tickLblSkip val="1"/>
        <c:tickMarkSkip val="1"/>
      </c:catAx>
      <c:valAx>
        <c:axId val="152742912"/>
        <c:scaling>
          <c:orientation val="minMax"/>
        </c:scaling>
        <c:axPos val="l"/>
        <c:majorGridlines>
          <c:spPr>
            <a:ln w="252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739840"/>
        <c:crosses val="autoZero"/>
        <c:crossBetween val="between"/>
      </c:valAx>
      <c:spPr>
        <a:noFill/>
        <a:ln w="20206">
          <a:noFill/>
        </a:ln>
      </c:spPr>
    </c:plotArea>
    <c:legend>
      <c:legendPos val="r"/>
      <c:layout>
        <c:manualLayout>
          <c:xMode val="edge"/>
          <c:yMode val="edge"/>
          <c:x val="0.72525597269624575"/>
          <c:y val="0.35897435897436186"/>
          <c:w val="0.17138522729519579"/>
          <c:h val="0.29520186837016882"/>
        </c:manualLayout>
      </c:layout>
      <c:spPr>
        <a:noFill/>
        <a:ln w="2526">
          <a:solidFill>
            <a:srgbClr val="000000"/>
          </a:solidFill>
          <a:prstDash val="solid"/>
        </a:ln>
      </c:spPr>
      <c:txPr>
        <a:bodyPr/>
        <a:lstStyle/>
        <a:p>
          <a:pPr>
            <a:defRPr sz="7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2013-03-13T01:26:00Z</dcterms:created>
  <dcterms:modified xsi:type="dcterms:W3CDTF">2013-03-13T01:44:00Z</dcterms:modified>
</cp:coreProperties>
</file>