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DE" w:rsidRPr="0071395E" w:rsidRDefault="00D54DDE">
      <w:pPr>
        <w:rPr>
          <w:rFonts w:cs="Times New Roman"/>
          <w:b/>
          <w:szCs w:val="28"/>
        </w:rPr>
      </w:pPr>
      <w:r w:rsidRPr="0071395E">
        <w:rPr>
          <w:rFonts w:cs="Times New Roman"/>
          <w:b/>
          <w:szCs w:val="28"/>
        </w:rPr>
        <w:t>Дидактическое пособие «Палитра» (</w:t>
      </w:r>
      <w:r w:rsidRPr="0071395E">
        <w:rPr>
          <w:rFonts w:cs="Times New Roman"/>
          <w:b/>
          <w:szCs w:val="28"/>
          <w:lang w:val="en-US"/>
        </w:rPr>
        <w:t>Paletti</w:t>
      </w:r>
      <w:r w:rsidRPr="0071395E">
        <w:rPr>
          <w:rFonts w:cs="Times New Roman"/>
          <w:b/>
          <w:szCs w:val="28"/>
        </w:rPr>
        <w:t>)</w:t>
      </w:r>
    </w:p>
    <w:p w:rsidR="00D54DDE" w:rsidRPr="0071395E" w:rsidRDefault="00D54DDE">
      <w:pPr>
        <w:rPr>
          <w:rFonts w:cs="Times New Roman"/>
          <w:szCs w:val="28"/>
        </w:rPr>
      </w:pPr>
    </w:p>
    <w:p w:rsidR="00AB3A24" w:rsidRPr="0071395E" w:rsidRDefault="00AB3A24" w:rsidP="00B47991">
      <w:pPr>
        <w:ind w:firstLine="708"/>
        <w:jc w:val="left"/>
        <w:rPr>
          <w:rFonts w:eastAsia="Times New Roman" w:cs="Times New Roman"/>
          <w:szCs w:val="28"/>
          <w:lang w:eastAsia="ru-RU"/>
        </w:rPr>
      </w:pPr>
      <w:r w:rsidRPr="0071395E">
        <w:rPr>
          <w:rFonts w:eastAsia="Times New Roman" w:cs="Times New Roman"/>
          <w:szCs w:val="28"/>
          <w:lang w:eastAsia="ru-RU"/>
        </w:rPr>
        <w:t>Палитра представляет собой индивидуа</w:t>
      </w:r>
      <w:r w:rsidR="00E371E7">
        <w:rPr>
          <w:rFonts w:eastAsia="Times New Roman" w:cs="Times New Roman"/>
          <w:szCs w:val="28"/>
          <w:lang w:eastAsia="ru-RU"/>
        </w:rPr>
        <w:t>льное раздаточное пособие. Это к</w:t>
      </w:r>
      <w:r w:rsidRPr="0071395E">
        <w:rPr>
          <w:rFonts w:eastAsia="Times New Roman" w:cs="Times New Roman"/>
          <w:szCs w:val="28"/>
          <w:lang w:eastAsia="ru-RU"/>
        </w:rPr>
        <w:t xml:space="preserve">руглая деревянная доска и 7 пар “красок” разной формы: обычные и с дырочками. </w:t>
      </w:r>
      <w:r w:rsidR="00A272CE">
        <w:rPr>
          <w:rFonts w:eastAsia="Times New Roman" w:cs="Times New Roman"/>
          <w:szCs w:val="28"/>
          <w:lang w:eastAsia="ru-RU"/>
        </w:rPr>
        <w:t>Работа может быть как индивидуальной, так и в парах.</w:t>
      </w:r>
      <w:r w:rsidRPr="0071395E">
        <w:rPr>
          <w:rFonts w:eastAsia="Times New Roman" w:cs="Times New Roman"/>
          <w:szCs w:val="28"/>
          <w:lang w:eastAsia="ru-RU"/>
        </w:rPr>
        <w:t xml:space="preserve"> </w:t>
      </w:r>
      <w:r w:rsidR="00E371E7">
        <w:rPr>
          <w:rFonts w:eastAsia="Times New Roman" w:cs="Times New Roman"/>
          <w:szCs w:val="28"/>
          <w:lang w:eastAsia="ru-RU"/>
        </w:rPr>
        <w:t xml:space="preserve"> </w:t>
      </w:r>
      <w:r w:rsidRPr="0071395E">
        <w:rPr>
          <w:rFonts w:eastAsia="Times New Roman" w:cs="Times New Roman"/>
          <w:szCs w:val="28"/>
          <w:lang w:eastAsia="ru-RU"/>
        </w:rPr>
        <w:t xml:space="preserve">В </w:t>
      </w:r>
      <w:r w:rsidR="00E371E7">
        <w:rPr>
          <w:rFonts w:eastAsia="Times New Roman" w:cs="Times New Roman"/>
          <w:szCs w:val="28"/>
          <w:lang w:eastAsia="ru-RU"/>
        </w:rPr>
        <w:t xml:space="preserve">базовый </w:t>
      </w:r>
      <w:r w:rsidRPr="0071395E">
        <w:rPr>
          <w:rFonts w:eastAsia="Times New Roman" w:cs="Times New Roman"/>
          <w:szCs w:val="28"/>
          <w:lang w:eastAsia="ru-RU"/>
        </w:rPr>
        <w:t>комплект так же входит набор тематических карточек.</w:t>
      </w:r>
    </w:p>
    <w:p w:rsidR="00AB3A24" w:rsidRPr="0071395E" w:rsidRDefault="00AB3A24" w:rsidP="00AB3A24">
      <w:pPr>
        <w:shd w:val="clear" w:color="auto" w:fill="FFFFFF"/>
        <w:spacing w:after="120" w:line="240" w:lineRule="atLeast"/>
        <w:jc w:val="left"/>
        <w:rPr>
          <w:rFonts w:eastAsia="Times New Roman" w:cs="Times New Roman"/>
          <w:szCs w:val="28"/>
          <w:lang w:eastAsia="ru-RU"/>
        </w:rPr>
      </w:pPr>
      <w:r w:rsidRPr="0071395E">
        <w:rPr>
          <w:rFonts w:eastAsia="Times New Roman" w:cs="Times New Roman"/>
          <w:szCs w:val="28"/>
          <w:lang w:eastAsia="ru-RU"/>
        </w:rPr>
        <w:t>Для работы представлены следующие темы:</w:t>
      </w:r>
    </w:p>
    <w:p w:rsidR="00890A9E" w:rsidRDefault="00890A9E"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sectPr w:rsidR="00890A9E" w:rsidSect="008B2A97">
          <w:pgSz w:w="11906" w:h="16838" w:code="9"/>
          <w:pgMar w:top="567" w:right="567" w:bottom="624" w:left="624" w:header="709" w:footer="709" w:gutter="0"/>
          <w:cols w:space="708"/>
          <w:docGrid w:linePitch="381"/>
        </w:sectPr>
      </w:pP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lastRenderedPageBreak/>
        <w:t>Восприятие и внимание 1.</w:t>
      </w: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t>Восприятие и внимание 2.</w:t>
      </w: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t>Нумерация.</w:t>
      </w: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t>Счет в пределах 10.</w:t>
      </w: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t>Счет в пределах 20.</w:t>
      </w: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lastRenderedPageBreak/>
        <w:t>Счет в пределах 100.</w:t>
      </w: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t>Табличное умножение.</w:t>
      </w: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t>Счет в пределах 1000.</w:t>
      </w:r>
    </w:p>
    <w:p w:rsidR="00AB3A24" w:rsidRPr="0071395E" w:rsidRDefault="00AB3A24" w:rsidP="00AB3A24">
      <w:pPr>
        <w:numPr>
          <w:ilvl w:val="0"/>
          <w:numId w:val="1"/>
        </w:numPr>
        <w:shd w:val="clear" w:color="auto" w:fill="FFFFFF"/>
        <w:spacing w:before="100" w:beforeAutospacing="1" w:after="100" w:afterAutospacing="1" w:line="240" w:lineRule="atLeast"/>
        <w:ind w:left="375"/>
        <w:jc w:val="left"/>
        <w:rPr>
          <w:rFonts w:eastAsia="Times New Roman" w:cs="Times New Roman"/>
          <w:szCs w:val="28"/>
          <w:lang w:eastAsia="ru-RU"/>
        </w:rPr>
      </w:pPr>
      <w:r w:rsidRPr="0071395E">
        <w:rPr>
          <w:rFonts w:eastAsia="Times New Roman" w:cs="Times New Roman"/>
          <w:szCs w:val="28"/>
          <w:lang w:eastAsia="ru-RU"/>
        </w:rPr>
        <w:t>Устное умножение многозначных чисел.</w:t>
      </w:r>
    </w:p>
    <w:p w:rsidR="00890A9E" w:rsidRDefault="00890A9E" w:rsidP="00AB3A24">
      <w:pPr>
        <w:shd w:val="clear" w:color="auto" w:fill="FFFFFF"/>
        <w:spacing w:after="120" w:line="240" w:lineRule="atLeast"/>
        <w:jc w:val="left"/>
        <w:rPr>
          <w:rFonts w:eastAsia="Times New Roman" w:cs="Times New Roman"/>
          <w:szCs w:val="28"/>
          <w:lang w:eastAsia="ru-RU"/>
        </w:rPr>
        <w:sectPr w:rsidR="00890A9E" w:rsidSect="00890A9E">
          <w:type w:val="continuous"/>
          <w:pgSz w:w="11906" w:h="16838" w:code="9"/>
          <w:pgMar w:top="567" w:right="567" w:bottom="624" w:left="624" w:header="709" w:footer="709" w:gutter="0"/>
          <w:cols w:num="2" w:space="708"/>
          <w:docGrid w:linePitch="381"/>
        </w:sectPr>
      </w:pPr>
    </w:p>
    <w:p w:rsidR="00E371E7" w:rsidRDefault="00AB3A24" w:rsidP="00AB3A24">
      <w:pPr>
        <w:shd w:val="clear" w:color="auto" w:fill="FFFFFF"/>
        <w:spacing w:after="120" w:line="240" w:lineRule="atLeast"/>
        <w:jc w:val="left"/>
        <w:rPr>
          <w:rFonts w:eastAsia="Times New Roman" w:cs="Times New Roman"/>
          <w:szCs w:val="28"/>
          <w:lang w:eastAsia="ru-RU"/>
        </w:rPr>
      </w:pPr>
      <w:r w:rsidRPr="0071395E">
        <w:rPr>
          <w:rFonts w:eastAsia="Times New Roman" w:cs="Times New Roman"/>
          <w:szCs w:val="28"/>
          <w:lang w:eastAsia="ru-RU"/>
        </w:rPr>
        <w:lastRenderedPageBreak/>
        <w:t xml:space="preserve">Карточки каждого набора разно уровневые. Уровень сложности определяется порядковым номером (в каждом комплекте их 12 штук). </w:t>
      </w:r>
    </w:p>
    <w:p w:rsidR="00E371E7" w:rsidRDefault="00AB3A24" w:rsidP="00AB3A24">
      <w:pPr>
        <w:shd w:val="clear" w:color="auto" w:fill="FFFFFF"/>
        <w:spacing w:after="120" w:line="240" w:lineRule="atLeast"/>
        <w:jc w:val="left"/>
        <w:rPr>
          <w:rFonts w:eastAsia="Times New Roman" w:cs="Times New Roman"/>
          <w:szCs w:val="28"/>
          <w:lang w:eastAsia="ru-RU"/>
        </w:rPr>
      </w:pPr>
      <w:r w:rsidRPr="0071395E">
        <w:rPr>
          <w:rFonts w:eastAsia="Times New Roman" w:cs="Times New Roman"/>
          <w:b/>
          <w:bCs/>
          <w:szCs w:val="28"/>
          <w:lang w:eastAsia="ru-RU"/>
        </w:rPr>
        <w:t>Знакомство.</w:t>
      </w:r>
      <w:r w:rsidRPr="0071395E">
        <w:rPr>
          <w:rFonts w:eastAsia="Times New Roman" w:cs="Times New Roman"/>
          <w:szCs w:val="28"/>
          <w:lang w:eastAsia="ru-RU"/>
        </w:rPr>
        <w:t xml:space="preserve"> Познакомить сразу большое количество </w:t>
      </w:r>
      <w:r w:rsidR="00E371E7">
        <w:rPr>
          <w:rFonts w:eastAsia="Times New Roman" w:cs="Times New Roman"/>
          <w:szCs w:val="28"/>
          <w:lang w:eastAsia="ru-RU"/>
        </w:rPr>
        <w:t xml:space="preserve">детей </w:t>
      </w:r>
      <w:r w:rsidRPr="0071395E">
        <w:rPr>
          <w:rFonts w:eastAsia="Times New Roman" w:cs="Times New Roman"/>
          <w:szCs w:val="28"/>
          <w:lang w:eastAsia="ru-RU"/>
        </w:rPr>
        <w:t xml:space="preserve"> с данным пособием достаточно сложно. Но один раз поняв, как ра</w:t>
      </w:r>
      <w:r w:rsidR="00E371E7">
        <w:rPr>
          <w:rFonts w:eastAsia="Times New Roman" w:cs="Times New Roman"/>
          <w:szCs w:val="28"/>
          <w:lang w:eastAsia="ru-RU"/>
        </w:rPr>
        <w:t>ботать с данным пособием, ребёнок</w:t>
      </w:r>
      <w:r w:rsidRPr="0071395E">
        <w:rPr>
          <w:rFonts w:eastAsia="Times New Roman" w:cs="Times New Roman"/>
          <w:szCs w:val="28"/>
          <w:lang w:eastAsia="ru-RU"/>
        </w:rPr>
        <w:t xml:space="preserve"> запоминает это навсегда и может обучить этому и других. Поэтому, мы рекомендуем проводить индивидуальное или парное обучение работе с палитрой. </w:t>
      </w:r>
    </w:p>
    <w:p w:rsidR="00AB3A24" w:rsidRPr="0071395E" w:rsidRDefault="00AB3A24" w:rsidP="00AB3A24">
      <w:pPr>
        <w:shd w:val="clear" w:color="auto" w:fill="FFFFFF"/>
        <w:spacing w:after="120" w:line="240" w:lineRule="atLeast"/>
        <w:jc w:val="left"/>
        <w:rPr>
          <w:rFonts w:eastAsia="Times New Roman" w:cs="Times New Roman"/>
          <w:szCs w:val="28"/>
          <w:lang w:eastAsia="ru-RU"/>
        </w:rPr>
      </w:pPr>
      <w:r w:rsidRPr="0071395E">
        <w:rPr>
          <w:rFonts w:eastAsia="Times New Roman" w:cs="Times New Roman"/>
          <w:szCs w:val="28"/>
          <w:lang w:eastAsia="ru-RU"/>
        </w:rPr>
        <w:t>В нашем случае знакомство с п</w:t>
      </w:r>
      <w:r w:rsidR="00E371E7">
        <w:rPr>
          <w:rFonts w:eastAsia="Times New Roman" w:cs="Times New Roman"/>
          <w:szCs w:val="28"/>
          <w:lang w:eastAsia="ru-RU"/>
        </w:rPr>
        <w:t>алитрой происходит еще заблаговременно, до подготовки дете</w:t>
      </w:r>
      <w:r w:rsidRPr="0071395E">
        <w:rPr>
          <w:rFonts w:eastAsia="Times New Roman" w:cs="Times New Roman"/>
          <w:szCs w:val="28"/>
          <w:lang w:eastAsia="ru-RU"/>
        </w:rPr>
        <w:t>й к школе. Дошкольники так же довольно легко овладевают методом работы с пособием. Рекомендуем проводить знакомство с набором с помощью карточек “Восприятие и внимание 1 и 2”.</w:t>
      </w:r>
    </w:p>
    <w:p w:rsidR="00AB3A24" w:rsidRPr="0071395E" w:rsidRDefault="00AB3A24" w:rsidP="00B47991">
      <w:pPr>
        <w:ind w:firstLine="708"/>
        <w:jc w:val="left"/>
        <w:rPr>
          <w:rFonts w:cs="Times New Roman"/>
          <w:szCs w:val="28"/>
        </w:rPr>
      </w:pPr>
    </w:p>
    <w:p w:rsidR="00844075" w:rsidRPr="0071395E" w:rsidRDefault="00890A9E" w:rsidP="00B47991">
      <w:pPr>
        <w:ind w:firstLine="708"/>
        <w:jc w:val="left"/>
        <w:rPr>
          <w:rFonts w:cs="Times New Roman"/>
          <w:szCs w:val="28"/>
        </w:rPr>
      </w:pPr>
      <w:r>
        <w:rPr>
          <w:rFonts w:cs="Times New Roman"/>
          <w:szCs w:val="28"/>
        </w:rPr>
        <w:t>Одно из основного, п</w:t>
      </w:r>
      <w:r w:rsidR="00D54DDE" w:rsidRPr="0071395E">
        <w:rPr>
          <w:rFonts w:cs="Times New Roman"/>
          <w:szCs w:val="28"/>
        </w:rPr>
        <w:t>алитр</w:t>
      </w:r>
      <w:proofErr w:type="gramStart"/>
      <w:r w:rsidR="00D54DDE" w:rsidRPr="0071395E">
        <w:rPr>
          <w:rFonts w:cs="Times New Roman"/>
          <w:szCs w:val="28"/>
        </w:rPr>
        <w:t>а-</w:t>
      </w:r>
      <w:proofErr w:type="gramEnd"/>
      <w:r w:rsidR="00D54DDE" w:rsidRPr="0071395E">
        <w:rPr>
          <w:rFonts w:cs="Times New Roman"/>
          <w:szCs w:val="28"/>
        </w:rPr>
        <w:t xml:space="preserve"> универсальное пособие для работы с последующей самопроверкой. </w:t>
      </w:r>
    </w:p>
    <w:p w:rsidR="008B6A14" w:rsidRDefault="00844075" w:rsidP="00B47991">
      <w:pPr>
        <w:ind w:firstLine="708"/>
        <w:jc w:val="left"/>
        <w:rPr>
          <w:rFonts w:cs="Times New Roman"/>
          <w:szCs w:val="28"/>
        </w:rPr>
      </w:pPr>
      <w:r w:rsidRPr="0071395E">
        <w:rPr>
          <w:rFonts w:cs="Times New Roman"/>
          <w:szCs w:val="28"/>
        </w:rPr>
        <w:t>Цел</w:t>
      </w:r>
      <w:proofErr w:type="gramStart"/>
      <w:r w:rsidRPr="0071395E">
        <w:rPr>
          <w:rFonts w:cs="Times New Roman"/>
          <w:szCs w:val="28"/>
        </w:rPr>
        <w:t>ь-</w:t>
      </w:r>
      <w:proofErr w:type="gramEnd"/>
      <w:r w:rsidRPr="0071395E">
        <w:rPr>
          <w:rFonts w:cs="Times New Roman"/>
          <w:szCs w:val="28"/>
        </w:rPr>
        <w:t xml:space="preserve"> закрепление изученного материала</w:t>
      </w:r>
      <w:r w:rsidR="008B6A14">
        <w:rPr>
          <w:rFonts w:cs="Times New Roman"/>
          <w:szCs w:val="28"/>
        </w:rPr>
        <w:t xml:space="preserve"> (основная)</w:t>
      </w:r>
      <w:r w:rsidRPr="0071395E">
        <w:rPr>
          <w:rFonts w:cs="Times New Roman"/>
          <w:szCs w:val="28"/>
        </w:rPr>
        <w:t xml:space="preserve"> и в последующем формирование учебной мотивации.</w:t>
      </w:r>
    </w:p>
    <w:p w:rsidR="008B6A14" w:rsidRDefault="008B6A14" w:rsidP="00B47991">
      <w:pPr>
        <w:ind w:firstLine="708"/>
        <w:jc w:val="left"/>
        <w:rPr>
          <w:rFonts w:cs="Times New Roman"/>
          <w:szCs w:val="28"/>
        </w:rPr>
      </w:pPr>
      <w:r>
        <w:rPr>
          <w:rFonts w:cs="Times New Roman"/>
          <w:szCs w:val="28"/>
        </w:rPr>
        <w:t>Хочется сделать быстрее, а над</w:t>
      </w:r>
      <w:proofErr w:type="gramStart"/>
      <w:r>
        <w:rPr>
          <w:rFonts w:cs="Times New Roman"/>
          <w:szCs w:val="28"/>
        </w:rPr>
        <w:t>о-</w:t>
      </w:r>
      <w:proofErr w:type="gramEnd"/>
      <w:r>
        <w:rPr>
          <w:rFonts w:cs="Times New Roman"/>
          <w:szCs w:val="28"/>
        </w:rPr>
        <w:t xml:space="preserve"> правильно.</w:t>
      </w:r>
    </w:p>
    <w:p w:rsidR="008B6A14" w:rsidRDefault="008B6A14" w:rsidP="00B47991">
      <w:pPr>
        <w:ind w:firstLine="708"/>
        <w:jc w:val="left"/>
        <w:rPr>
          <w:rFonts w:cs="Times New Roman"/>
          <w:szCs w:val="28"/>
        </w:rPr>
      </w:pPr>
      <w:r>
        <w:rPr>
          <w:rFonts w:cs="Times New Roman"/>
          <w:szCs w:val="28"/>
        </w:rPr>
        <w:t>Принять инструкцию и следовать ей, необходимо инструкцию всегда держать в голове.</w:t>
      </w:r>
    </w:p>
    <w:p w:rsidR="008B6A14" w:rsidRDefault="008B6A14" w:rsidP="00B47991">
      <w:pPr>
        <w:ind w:firstLine="708"/>
        <w:jc w:val="left"/>
        <w:rPr>
          <w:rFonts w:cs="Times New Roman"/>
          <w:szCs w:val="28"/>
        </w:rPr>
      </w:pPr>
      <w:r>
        <w:rPr>
          <w:rFonts w:cs="Times New Roman"/>
          <w:szCs w:val="28"/>
        </w:rPr>
        <w:t>Развитие произвольности психических процессов, логического мышления, а впоследствии и определённых черт характера.</w:t>
      </w:r>
    </w:p>
    <w:p w:rsidR="00844075" w:rsidRPr="0071395E" w:rsidRDefault="00844075" w:rsidP="00B47991">
      <w:pPr>
        <w:ind w:firstLine="708"/>
        <w:jc w:val="left"/>
        <w:rPr>
          <w:rFonts w:cs="Times New Roman"/>
          <w:szCs w:val="28"/>
        </w:rPr>
      </w:pPr>
      <w:r w:rsidRPr="0071395E">
        <w:rPr>
          <w:rFonts w:cs="Times New Roman"/>
          <w:szCs w:val="28"/>
        </w:rPr>
        <w:t xml:space="preserve"> </w:t>
      </w:r>
    </w:p>
    <w:p w:rsidR="0025178D" w:rsidRPr="0071395E" w:rsidRDefault="00844075" w:rsidP="00B47991">
      <w:pPr>
        <w:ind w:firstLine="708"/>
        <w:jc w:val="left"/>
        <w:rPr>
          <w:rFonts w:cs="Times New Roman"/>
          <w:szCs w:val="28"/>
        </w:rPr>
      </w:pPr>
      <w:r w:rsidRPr="0071395E">
        <w:rPr>
          <w:rFonts w:cs="Times New Roman"/>
          <w:szCs w:val="28"/>
        </w:rPr>
        <w:t>К</w:t>
      </w:r>
      <w:r w:rsidR="00D54DDE" w:rsidRPr="0071395E">
        <w:rPr>
          <w:rFonts w:cs="Times New Roman"/>
          <w:szCs w:val="28"/>
        </w:rPr>
        <w:t>арточка с заданием накладывается на деревянную основу. Ребёнок берёт в руки фишку, соответствующую заданию, ищет подходящий ответ и кладёт в углубление рядом с этим ответом.</w:t>
      </w:r>
      <w:r w:rsidR="00BE2D9F" w:rsidRPr="0071395E">
        <w:rPr>
          <w:rFonts w:cs="Times New Roman"/>
          <w:szCs w:val="28"/>
        </w:rPr>
        <w:t xml:space="preserve"> При проверке карточку</w:t>
      </w:r>
      <w:r w:rsidR="00B47991" w:rsidRPr="0071395E">
        <w:rPr>
          <w:rFonts w:cs="Times New Roman"/>
          <w:szCs w:val="28"/>
        </w:rPr>
        <w:t xml:space="preserve"> переворачивают, снова кладут и затем проверяют, совпадает ли цвет и форма фишек с раскраской по краям.</w:t>
      </w:r>
    </w:p>
    <w:p w:rsidR="00B47991" w:rsidRPr="0071395E" w:rsidRDefault="00B47991" w:rsidP="00B47991">
      <w:pPr>
        <w:ind w:firstLine="708"/>
        <w:jc w:val="left"/>
        <w:rPr>
          <w:rFonts w:cs="Times New Roman"/>
          <w:szCs w:val="28"/>
        </w:rPr>
      </w:pPr>
      <w:r w:rsidRPr="0071395E">
        <w:rPr>
          <w:rFonts w:cs="Times New Roman"/>
          <w:szCs w:val="28"/>
        </w:rPr>
        <w:t>При первом знакомстве рекомендуется поработать с основой без карточки пересчитать и расклассифицировать фишки, выложить их в ряд под диктовку педагога, сложить в палитру так, чтобы у двух рядом лежащих фишек отличался только один парамет</w:t>
      </w:r>
      <w:proofErr w:type="gramStart"/>
      <w:r w:rsidRPr="0071395E">
        <w:rPr>
          <w:rFonts w:cs="Times New Roman"/>
          <w:szCs w:val="28"/>
        </w:rPr>
        <w:t>р-</w:t>
      </w:r>
      <w:proofErr w:type="gramEnd"/>
      <w:r w:rsidRPr="0071395E">
        <w:rPr>
          <w:rFonts w:cs="Times New Roman"/>
          <w:szCs w:val="28"/>
        </w:rPr>
        <w:t xml:space="preserve"> либо цвет, либо форма. Освоив названия фишек, дети легко поймут принцип работы с карточками.</w:t>
      </w:r>
    </w:p>
    <w:p w:rsidR="00AB3A24" w:rsidRPr="0071395E" w:rsidRDefault="00AB3A24" w:rsidP="00AB3A24">
      <w:pPr>
        <w:shd w:val="clear" w:color="auto" w:fill="FFFFFF"/>
        <w:spacing w:after="120" w:line="240" w:lineRule="atLeast"/>
        <w:jc w:val="left"/>
        <w:rPr>
          <w:rFonts w:eastAsia="Times New Roman" w:cs="Times New Roman"/>
          <w:szCs w:val="28"/>
          <w:lang w:eastAsia="ru-RU"/>
        </w:rPr>
      </w:pPr>
      <w:r w:rsidRPr="0071395E">
        <w:rPr>
          <w:rFonts w:eastAsia="Times New Roman" w:cs="Times New Roman"/>
          <w:b/>
          <w:bCs/>
          <w:szCs w:val="28"/>
          <w:lang w:eastAsia="ru-RU"/>
        </w:rPr>
        <w:lastRenderedPageBreak/>
        <w:t>Проверка работы.</w:t>
      </w:r>
      <w:r w:rsidRPr="0071395E">
        <w:rPr>
          <w:rFonts w:eastAsia="Times New Roman" w:cs="Times New Roman"/>
          <w:szCs w:val="28"/>
          <w:lang w:eastAsia="ru-RU"/>
        </w:rPr>
        <w:t> Когда работа закончена, то карточку переворачивают на другую сторону и цвет выбранной краски должен совпасть с цветом на карточке.</w:t>
      </w:r>
    </w:p>
    <w:p w:rsidR="00AB3A24" w:rsidRPr="0071395E" w:rsidRDefault="00AB3A24" w:rsidP="00AB3A24">
      <w:pPr>
        <w:shd w:val="clear" w:color="auto" w:fill="FFFFFF"/>
        <w:spacing w:after="120" w:line="240" w:lineRule="atLeast"/>
        <w:jc w:val="left"/>
        <w:rPr>
          <w:rFonts w:eastAsia="Times New Roman" w:cs="Times New Roman"/>
          <w:szCs w:val="28"/>
          <w:lang w:eastAsia="ru-RU"/>
        </w:rPr>
      </w:pPr>
      <w:r w:rsidRPr="0071395E">
        <w:rPr>
          <w:rFonts w:eastAsia="Times New Roman" w:cs="Times New Roman"/>
          <w:szCs w:val="28"/>
          <w:lang w:eastAsia="ru-RU"/>
        </w:rPr>
        <w:t>Существует несколько методов проверки выполненной работы.</w:t>
      </w:r>
    </w:p>
    <w:p w:rsidR="00AB3A24" w:rsidRPr="0071395E" w:rsidRDefault="00AB3A24" w:rsidP="00AB3A24">
      <w:pPr>
        <w:shd w:val="clear" w:color="auto" w:fill="FFFFFF"/>
        <w:spacing w:after="120" w:line="240" w:lineRule="atLeast"/>
        <w:jc w:val="left"/>
        <w:rPr>
          <w:rFonts w:eastAsia="Times New Roman" w:cs="Times New Roman"/>
          <w:szCs w:val="28"/>
          <w:lang w:eastAsia="ru-RU"/>
        </w:rPr>
      </w:pPr>
      <w:r w:rsidRPr="0071395E">
        <w:rPr>
          <w:rFonts w:eastAsia="Times New Roman" w:cs="Times New Roman"/>
          <w:i/>
          <w:iCs/>
          <w:szCs w:val="28"/>
          <w:lang w:eastAsia="ru-RU"/>
        </w:rPr>
        <w:t>1. Проверка учителем</w:t>
      </w:r>
      <w:r w:rsidRPr="0071395E">
        <w:rPr>
          <w:rFonts w:eastAsia="Times New Roman" w:cs="Times New Roman"/>
          <w:szCs w:val="28"/>
          <w:lang w:eastAsia="ru-RU"/>
        </w:rPr>
        <w:t xml:space="preserve">. При обнаружении ошибок, </w:t>
      </w:r>
      <w:r w:rsidR="00890A9E">
        <w:rPr>
          <w:rFonts w:eastAsia="Times New Roman" w:cs="Times New Roman"/>
          <w:szCs w:val="28"/>
          <w:lang w:eastAsia="ru-RU"/>
        </w:rPr>
        <w:t>педагог</w:t>
      </w:r>
      <w:r w:rsidRPr="0071395E">
        <w:rPr>
          <w:rFonts w:eastAsia="Times New Roman" w:cs="Times New Roman"/>
          <w:szCs w:val="28"/>
          <w:lang w:eastAsia="ru-RU"/>
        </w:rPr>
        <w:t xml:space="preserve"> снимает неверные “краски” и предлагает ребенку исправиться или просто называет количество ошибок, </w:t>
      </w:r>
      <w:r w:rsidR="00890A9E">
        <w:rPr>
          <w:rFonts w:eastAsia="Times New Roman" w:cs="Times New Roman"/>
          <w:szCs w:val="28"/>
          <w:lang w:eastAsia="ru-RU"/>
        </w:rPr>
        <w:t xml:space="preserve">ребёнок </w:t>
      </w:r>
      <w:r w:rsidRPr="0071395E">
        <w:rPr>
          <w:rFonts w:eastAsia="Times New Roman" w:cs="Times New Roman"/>
          <w:szCs w:val="28"/>
          <w:lang w:eastAsia="ru-RU"/>
        </w:rPr>
        <w:t xml:space="preserve">должен найти их сам. После чего </w:t>
      </w:r>
      <w:r w:rsidR="00890A9E">
        <w:rPr>
          <w:rFonts w:eastAsia="Times New Roman" w:cs="Times New Roman"/>
          <w:szCs w:val="28"/>
          <w:lang w:eastAsia="ru-RU"/>
        </w:rPr>
        <w:t>педагог</w:t>
      </w:r>
      <w:r w:rsidRPr="0071395E">
        <w:rPr>
          <w:rFonts w:eastAsia="Times New Roman" w:cs="Times New Roman"/>
          <w:szCs w:val="28"/>
          <w:lang w:eastAsia="ru-RU"/>
        </w:rPr>
        <w:t xml:space="preserve"> выдаёт более сложную/простую карточку или другое задание.</w:t>
      </w:r>
    </w:p>
    <w:p w:rsidR="00890A9E" w:rsidRDefault="00AB3A24" w:rsidP="00AB3A24">
      <w:pPr>
        <w:shd w:val="clear" w:color="auto" w:fill="FFFFFF"/>
        <w:spacing w:after="120" w:line="240" w:lineRule="atLeast"/>
        <w:jc w:val="left"/>
        <w:rPr>
          <w:rFonts w:eastAsia="Times New Roman" w:cs="Times New Roman"/>
          <w:szCs w:val="28"/>
          <w:lang w:eastAsia="ru-RU"/>
        </w:rPr>
      </w:pPr>
      <w:r w:rsidRPr="0071395E">
        <w:rPr>
          <w:rFonts w:eastAsia="Times New Roman" w:cs="Times New Roman"/>
          <w:i/>
          <w:iCs/>
          <w:szCs w:val="28"/>
          <w:lang w:eastAsia="ru-RU"/>
        </w:rPr>
        <w:t>2. Проверка в парах</w:t>
      </w:r>
      <w:r w:rsidRPr="0071395E">
        <w:rPr>
          <w:rFonts w:eastAsia="Times New Roman" w:cs="Times New Roman"/>
          <w:szCs w:val="28"/>
          <w:lang w:eastAsia="ru-RU"/>
        </w:rPr>
        <w:t xml:space="preserve">. </w:t>
      </w:r>
      <w:proofErr w:type="gramStart"/>
      <w:r w:rsidRPr="0071395E">
        <w:rPr>
          <w:rFonts w:eastAsia="Times New Roman" w:cs="Times New Roman"/>
          <w:szCs w:val="28"/>
          <w:lang w:eastAsia="ru-RU"/>
        </w:rPr>
        <w:t xml:space="preserve">При завершении работы, </w:t>
      </w:r>
      <w:r w:rsidR="00890A9E">
        <w:rPr>
          <w:rFonts w:eastAsia="Times New Roman" w:cs="Times New Roman"/>
          <w:szCs w:val="28"/>
          <w:lang w:eastAsia="ru-RU"/>
        </w:rPr>
        <w:t>дети, работающие в паре</w:t>
      </w:r>
      <w:r w:rsidRPr="0071395E">
        <w:rPr>
          <w:rFonts w:eastAsia="Times New Roman" w:cs="Times New Roman"/>
          <w:szCs w:val="28"/>
          <w:lang w:eastAsia="ru-RU"/>
        </w:rPr>
        <w:t xml:space="preserve"> могут обменяться своими палитрами и проверить работы друг друга (Переворачивая или не переворачивая карточку на сторону с ответами</w:t>
      </w:r>
      <w:proofErr w:type="gramEnd"/>
    </w:p>
    <w:p w:rsidR="00AB3A24" w:rsidRPr="00E371E7" w:rsidRDefault="00AB3A24" w:rsidP="00AB3A24">
      <w:pPr>
        <w:shd w:val="clear" w:color="auto" w:fill="FFFFFF"/>
        <w:spacing w:after="120" w:line="240" w:lineRule="atLeast"/>
        <w:jc w:val="left"/>
        <w:rPr>
          <w:rFonts w:eastAsia="Times New Roman" w:cs="Times New Roman"/>
          <w:szCs w:val="28"/>
          <w:lang w:eastAsia="ru-RU"/>
        </w:rPr>
      </w:pPr>
      <w:r w:rsidRPr="00E371E7">
        <w:rPr>
          <w:rFonts w:eastAsia="Times New Roman" w:cs="Times New Roman"/>
          <w:i/>
          <w:iCs/>
          <w:szCs w:val="28"/>
          <w:lang w:eastAsia="ru-RU"/>
        </w:rPr>
        <w:t>3. Самопроверка</w:t>
      </w:r>
      <w:r w:rsidRPr="00E371E7">
        <w:rPr>
          <w:rFonts w:eastAsia="Times New Roman" w:cs="Times New Roman"/>
          <w:szCs w:val="28"/>
          <w:lang w:eastAsia="ru-RU"/>
        </w:rPr>
        <w:t>. Ребенок, решив карточку, может самостоятельно перевернуть карточку и проверить свой результат.</w:t>
      </w:r>
    </w:p>
    <w:p w:rsidR="00AB3A24" w:rsidRPr="00E371E7" w:rsidRDefault="00AB3A24" w:rsidP="00AB3A24">
      <w:pPr>
        <w:shd w:val="clear" w:color="auto" w:fill="FFFFFF"/>
        <w:spacing w:after="120" w:line="240" w:lineRule="atLeast"/>
        <w:jc w:val="left"/>
        <w:rPr>
          <w:rFonts w:eastAsia="Times New Roman" w:cs="Times New Roman"/>
          <w:szCs w:val="28"/>
          <w:lang w:eastAsia="ru-RU"/>
        </w:rPr>
      </w:pPr>
    </w:p>
    <w:p w:rsidR="00AB3A24" w:rsidRPr="00E371E7" w:rsidRDefault="00AB3A24" w:rsidP="00AB3A24">
      <w:pPr>
        <w:shd w:val="clear" w:color="auto" w:fill="FFFFFF"/>
        <w:spacing w:after="120" w:line="240" w:lineRule="atLeast"/>
        <w:jc w:val="left"/>
        <w:rPr>
          <w:rFonts w:eastAsia="Times New Roman" w:cs="Times New Roman"/>
          <w:szCs w:val="28"/>
          <w:lang w:eastAsia="ru-RU"/>
        </w:rPr>
      </w:pPr>
      <w:r w:rsidRPr="00E371E7">
        <w:rPr>
          <w:rFonts w:eastAsia="Times New Roman" w:cs="Times New Roman"/>
          <w:szCs w:val="28"/>
          <w:lang w:eastAsia="ru-RU"/>
        </w:rPr>
        <w:t>На первый взгляд может показаться, что работа с палитрой – это игра. Однако дети быстро осознают, что это не так. Выполнять каждую карточку достаточно сложно. Все задания там подобраны и продуманы хорошо. Поэтому, в зависимости от подготовленности учащегося, каждый может затрачивать разное время на выполнение карточки. Кроме того, дети быстро утомляются от данного вида работы. Так как выполнение задания требует концентрации внимания. Ведь мало решить пример, нужно еще и найти соответствующую краску и ее место на палитре.</w:t>
      </w:r>
    </w:p>
    <w:p w:rsidR="00D54DDE" w:rsidRPr="0071395E" w:rsidRDefault="00D54DDE">
      <w:pPr>
        <w:rPr>
          <w:rFonts w:cs="Times New Roman"/>
          <w:szCs w:val="28"/>
        </w:rPr>
      </w:pPr>
    </w:p>
    <w:p w:rsidR="00AB3A24" w:rsidRPr="0071395E" w:rsidRDefault="00AB3A24">
      <w:pPr>
        <w:rPr>
          <w:rFonts w:cs="Times New Roman"/>
          <w:szCs w:val="28"/>
        </w:rPr>
      </w:pPr>
      <w:r w:rsidRPr="0071395E">
        <w:rPr>
          <w:rFonts w:eastAsia="Times New Roman" w:cs="Times New Roman"/>
          <w:b/>
          <w:bCs/>
          <w:szCs w:val="28"/>
          <w:lang w:eastAsia="ru-RU"/>
        </w:rPr>
        <w:t>Заключение.</w:t>
      </w:r>
      <w:r w:rsidRPr="0071395E">
        <w:rPr>
          <w:rFonts w:eastAsia="Times New Roman" w:cs="Times New Roman"/>
          <w:szCs w:val="28"/>
          <w:lang w:eastAsia="ru-RU"/>
        </w:rPr>
        <w:t> В заключении хочется сказать, что дети с огромным удовольствием работают с данным пособием. Им нравится, что здесь не нужно писать, ошибку легко исправить и конечно, их привлекает именно делание, работа руками.</w:t>
      </w:r>
    </w:p>
    <w:sectPr w:rsidR="00AB3A24" w:rsidRPr="0071395E" w:rsidSect="00890A9E">
      <w:type w:val="continuous"/>
      <w:pgSz w:w="11906" w:h="16838" w:code="9"/>
      <w:pgMar w:top="567" w:right="567" w:bottom="624" w:left="62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CCC"/>
    <w:multiLevelType w:val="multilevel"/>
    <w:tmpl w:val="945C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54DDE"/>
    <w:rsid w:val="000A63D3"/>
    <w:rsid w:val="00176E32"/>
    <w:rsid w:val="001E358F"/>
    <w:rsid w:val="0025178D"/>
    <w:rsid w:val="00296480"/>
    <w:rsid w:val="003601A5"/>
    <w:rsid w:val="00425613"/>
    <w:rsid w:val="005240D0"/>
    <w:rsid w:val="005738D3"/>
    <w:rsid w:val="005B3C38"/>
    <w:rsid w:val="0071395E"/>
    <w:rsid w:val="00844075"/>
    <w:rsid w:val="00890A9E"/>
    <w:rsid w:val="008B2A97"/>
    <w:rsid w:val="008B6A14"/>
    <w:rsid w:val="00935BD2"/>
    <w:rsid w:val="00A014A3"/>
    <w:rsid w:val="00A05B01"/>
    <w:rsid w:val="00A272CE"/>
    <w:rsid w:val="00AB3A24"/>
    <w:rsid w:val="00B47991"/>
    <w:rsid w:val="00BE2D9F"/>
    <w:rsid w:val="00BF5E11"/>
    <w:rsid w:val="00C3020E"/>
    <w:rsid w:val="00C37887"/>
    <w:rsid w:val="00C95A8D"/>
    <w:rsid w:val="00D54DDE"/>
    <w:rsid w:val="00DF46F5"/>
    <w:rsid w:val="00E371E7"/>
    <w:rsid w:val="00E65D96"/>
    <w:rsid w:val="00EE1A77"/>
    <w:rsid w:val="00FE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2015-11-26T14:19:00Z</dcterms:created>
  <dcterms:modified xsi:type="dcterms:W3CDTF">2015-12-02T19:15:00Z</dcterms:modified>
</cp:coreProperties>
</file>