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A2" w:rsidRDefault="009E4CA2" w:rsidP="009E4CA2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Логинова Н.Н., </w:t>
      </w:r>
    </w:p>
    <w:p w:rsidR="009E4CA2" w:rsidRDefault="009E4CA2" w:rsidP="009E4CA2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кандидат технических наук, методист</w:t>
      </w:r>
    </w:p>
    <w:p w:rsidR="009E4CA2" w:rsidRPr="005D41DC" w:rsidRDefault="009E4CA2" w:rsidP="009E4CA2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Дядькова</w:t>
      </w:r>
      <w:proofErr w:type="spellEnd"/>
      <w:r>
        <w:rPr>
          <w:i/>
          <w:iCs/>
          <w:color w:val="000000"/>
        </w:rPr>
        <w:t xml:space="preserve"> Л.Г.,</w:t>
      </w:r>
    </w:p>
    <w:p w:rsidR="009E4CA2" w:rsidRDefault="009E4CA2" w:rsidP="009E4CA2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заместитель директора по методической работе </w:t>
      </w:r>
    </w:p>
    <w:p w:rsidR="009E4CA2" w:rsidRDefault="009E4CA2" w:rsidP="009E4CA2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ГБОУ ДОД ЦВР Калининского района Санкт-Петербурга «Академический»</w:t>
      </w:r>
    </w:p>
    <w:p w:rsidR="009E4CA2" w:rsidRDefault="009E4CA2" w:rsidP="009E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A2" w:rsidRDefault="009E4CA2" w:rsidP="009E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870A5C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sz w:val="24"/>
          <w:szCs w:val="24"/>
        </w:rPr>
        <w:t>с технологическим оборудованием</w:t>
      </w:r>
    </w:p>
    <w:p w:rsidR="009E4CA2" w:rsidRDefault="009E4CA2" w:rsidP="009E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образовательном процессе </w:t>
      </w:r>
      <w:r w:rsidRPr="00870A5C">
        <w:rPr>
          <w:rFonts w:ascii="Times New Roman" w:hAnsi="Times New Roman" w:cs="Times New Roman"/>
          <w:b/>
          <w:sz w:val="24"/>
          <w:szCs w:val="24"/>
        </w:rPr>
        <w:t>ЦВР «Академический»</w:t>
      </w:r>
    </w:p>
    <w:p w:rsidR="009E4CA2" w:rsidRDefault="009E4CA2" w:rsidP="009E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9E4CA2" w:rsidRDefault="009E4CA2" w:rsidP="009E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A2" w:rsidRPr="009F3AC1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ополнительное образование, являясь частью существующей системы обучения, предполагает новое содержание образования в соответствии с направленностями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технологическими и информационными технологиями, новыми социальными отношениями в обществе, требованиями инновационной экономики и рынка труда.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сегодняшним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развития техники и технологий должна совершенствоваться материальная база образовательного учреждения. Все это требует создания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техносферной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учреждения, инфраструктуры, включающей в себя комплекс ресурсов, </w:t>
      </w:r>
      <w:r w:rsidRPr="00850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дополнительного образования, соответствующее требованиям развития современной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запросам рынка труда, потребностям личности, общества, государства.</w:t>
      </w:r>
    </w:p>
    <w:p w:rsidR="009E4CA2" w:rsidRPr="009F3AC1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Документами, регламентирующими процесс развития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дополнительного образования детей, являются Стратегия инновационного развития Российской Федерации на период до 2020 года (Распоряжение Правительства РФ от 8.12.2011 года № 2227-р); Поручение Председателя Правительства Российской федерации 28.08.2012 года № ДМ-П8-5060; Концепция общенациональной системы выявления и развития молодых талантов (утв. Президентом РФ от 03.04.2012 года); Федеральная целевая программа развития образования на 2011-2015 годы  (утв. Постановлением Правительства РФ от 7.02.2011 года № 61), Концепция развития дополнительного образования детей (утверждена распоряжением Правительства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от 4.09.2014 г. № 1726-р)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9E4CA2" w:rsidRPr="009F3AC1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подтверждают, что развитие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дополнительного образования детей - это</w:t>
      </w:r>
      <w:r w:rsidRPr="009F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актуальная и эффективная форма</w:t>
      </w:r>
      <w:r w:rsidRPr="009F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целей при освоении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других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CA2" w:rsidRPr="009F3AC1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внешкольной работы «Академический»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(ЦВР)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определенная</w:t>
      </w:r>
      <w:r w:rsidRPr="000924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12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анализа потребности в перспективном</w:t>
      </w:r>
      <w:r w:rsidRPr="009F3A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0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ресурсном обеспечении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технологичным оборудованием, используемым в реализации инновационных программ дополнительного образования детей. 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Ресурсное обеспечение образовательного процесса ЦВР подразделяется </w:t>
      </w:r>
      <w:proofErr w:type="gram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методическое, информационное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необходимостью в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 программным обеспечением или компьютером,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со специализированным оборудованием,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специфических техниках и технологиях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966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иметь соответствующие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в практической деятельности. Таким образом, педагогические кадры должны обладать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дальнейшего развития в направлении освоения современных требований к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и ее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Важную роль в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обеспечения современной учебной базы, разработки учебно-методических комплексов, в том числе для компьютерных программ,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средств дидактической поддержки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</w:t>
      </w:r>
      <w:r w:rsidRPr="008966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процесса внедрения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входящего в состав учебно-технологических модулей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Помимо разработки современных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методик,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авторских учебно-методических материалов и средств дидактического сопровождения занятий, учебных планов и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методическая служба обеспечивает</w:t>
      </w:r>
      <w:r w:rsidRPr="0057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систематизаци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банка данных об опыте дополнительного образования в сфере новых технологий</w:t>
      </w:r>
      <w:r w:rsidRPr="0057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разработанного нового учебно-методического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</w:t>
      </w:r>
      <w:r w:rsidRPr="0057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есурсно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создании базы данных</w:t>
      </w:r>
      <w:r w:rsidRPr="0057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новых публикациях по различным профилям деятельности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специальной литературы, создание возможности для получения консультаций и справок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тематических ознакомительных мероприятий и т.д.</w:t>
      </w:r>
    </w:p>
    <w:p w:rsidR="009E4CA2" w:rsidRDefault="009E4CA2" w:rsidP="009E4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6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Технические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представляют собой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и налаженное 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для творчества учащихся, материалы для обеспечения деятельности по соответствующему 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компьютеры,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информационно-коммуникационное оборудование для проведения презентаций (проектор, экран), интерактивные доски, постоянный и устойчивый доступ к интернету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помещения, соответствующие требованиям  использования техники, новых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CA2" w:rsidRPr="009F3AC1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6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Технологические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</w:t>
      </w:r>
      <w:r w:rsidRPr="00896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программно-технологическое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образовательного процесса. Сюда относятся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и программное обеспечение</w:t>
      </w:r>
      <w:proofErr w:type="gram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 для графического дизайна и обработки изображений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CorelDRAW</w:t>
      </w:r>
      <w:proofErr w:type="spellEnd"/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программы для обеспечения коммуникаций, различного моделирования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CA2" w:rsidRDefault="009E4CA2" w:rsidP="009E4CA2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последних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важными </w:t>
      </w:r>
      <w:r w:rsidRPr="009F3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факторами инновационного развития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учреждения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с</w:t>
      </w:r>
      <w:r w:rsidRPr="009F3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истемно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и вновь обретенных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материально-технических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сопровождения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</w:t>
      </w:r>
      <w:r w:rsidRPr="002722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в ЦВР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внесения</w:t>
      </w: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B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их</w:t>
      </w:r>
      <w:r w:rsidRPr="009F3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Pr="002722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ерспектив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ы</w:t>
      </w:r>
      <w:r w:rsidRPr="002722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ресурсного обеспечения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техническим и </w:t>
      </w:r>
      <w:r w:rsidRPr="002722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технологичным оборудованием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определяются путем аналитического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существующего на данный день и перспективного состояния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материальной базы. Анализ производится по определенной </w:t>
      </w:r>
      <w:r w:rsidRPr="009D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лежащей в основе системы. Особенностью данной схемы является </w:t>
      </w:r>
      <w:r w:rsidRPr="001D5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непрерывность процесса обновления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заложена в одновременном осуществлении прямой и обратной связи оценки настоящего состояния и планирования шагов по дальнейшему развитию учебных отделов (рис.1). </w:t>
      </w:r>
    </w:p>
    <w:p w:rsidR="009E4CA2" w:rsidRPr="006008CC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27.2pt;margin-top:9.6pt;width:0;height:43.2pt;flip:y;z-index:251658240" o:connectortype="straight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_x0000_s1032" style="position:absolute;left:0;text-align:left;margin-left:25.95pt;margin-top:-.2pt;width:441.75pt;height:176.25pt;z-index:251658240" coordorigin="1695,1406" coordsize="8835,3525">
            <v:rect id="_x0000_s1033" style="position:absolute;left:1800;top:2136;width:1710;height:750">
              <v:textbox style="mso-next-textbox:#_x0000_s1033">
                <w:txbxContent>
                  <w:p w:rsidR="009E4CA2" w:rsidRPr="00810239" w:rsidRDefault="009E4CA2" w:rsidP="009E4CA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1023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Аналитическое наблюдение</w:t>
                    </w:r>
                  </w:p>
                  <w:p w:rsidR="009E4CA2" w:rsidRDefault="009E4CA2" w:rsidP="009E4CA2"/>
                </w:txbxContent>
              </v:textbox>
            </v:rect>
            <v:rect id="_x0000_s1034" style="position:absolute;left:2070;top:3921;width:1440;height:675">
              <v:textbox style="mso-next-textbox:#_x0000_s1034">
                <w:txbxContent>
                  <w:p w:rsidR="009E4CA2" w:rsidRPr="00810239" w:rsidRDefault="009E4CA2" w:rsidP="009E4CA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1023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Прогноз состояния</w:t>
                    </w:r>
                  </w:p>
                  <w:p w:rsidR="009E4CA2" w:rsidRDefault="009E4CA2" w:rsidP="009E4CA2"/>
                </w:txbxContent>
              </v:textbox>
            </v:rect>
            <v:rect id="_x0000_s1035" style="position:absolute;left:3870;top:2016;width:1875;height:1005">
              <v:textbox style="mso-next-textbox:#_x0000_s1035">
                <w:txbxContent>
                  <w:p w:rsidR="009E4CA2" w:rsidRPr="00810239" w:rsidRDefault="009E4CA2" w:rsidP="009E4CA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1023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Оценка фактического состояния</w:t>
                    </w:r>
                  </w:p>
                  <w:p w:rsidR="009E4CA2" w:rsidRDefault="009E4CA2" w:rsidP="009E4CA2"/>
                </w:txbxContent>
              </v:textbox>
            </v:rect>
            <v:rect id="_x0000_s1036" style="position:absolute;left:3945;top:3786;width:1980;height:990">
              <v:textbox style="mso-next-textbox:#_x0000_s1036">
                <w:txbxContent>
                  <w:p w:rsidR="009E4CA2" w:rsidRPr="00810239" w:rsidRDefault="009E4CA2" w:rsidP="009E4CA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1023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Оценка прогнозируемого состояния</w:t>
                    </w:r>
                  </w:p>
                  <w:p w:rsidR="009E4CA2" w:rsidRDefault="009E4CA2" w:rsidP="009E4CA2"/>
                </w:txbxContent>
              </v:textbox>
            </v:rect>
            <v:rect id="_x0000_s1037" style="position:absolute;left:6330;top:2616;width:1755;height:1560">
              <v:textbox style="mso-next-textbox:#_x0000_s1037">
                <w:txbxContent>
                  <w:p w:rsidR="009E4CA2" w:rsidRPr="00810239" w:rsidRDefault="009E4CA2" w:rsidP="009E4CA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1023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Внедрение технологичного оборудования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и анализ эффективности</w:t>
                    </w:r>
                  </w:p>
                  <w:p w:rsidR="009E4CA2" w:rsidRDefault="009E4CA2" w:rsidP="009E4CA2"/>
                </w:txbxContent>
              </v:textbox>
            </v:rect>
            <v:rect id="_x0000_s1038" style="position:absolute;left:8835;top:2466;width:1695;height:1710">
              <v:textbox style="mso-next-textbox:#_x0000_s1038">
                <w:txbxContent>
                  <w:p w:rsidR="009E4CA2" w:rsidRDefault="009E4CA2" w:rsidP="009E4CA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81023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Планирование дальнейшего развития</w:t>
                    </w:r>
                    <w:r w:rsidRPr="00810239">
                      <w:rPr>
                        <w:b/>
                        <w:bCs/>
                      </w:rPr>
                      <w:t xml:space="preserve"> </w:t>
                    </w:r>
                    <w:r w:rsidRPr="00546F8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ресурсного обеспечения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ЦВР</w:t>
                    </w:r>
                  </w:p>
                  <w:p w:rsidR="009E4CA2" w:rsidRDefault="009E4CA2" w:rsidP="009E4CA2"/>
                </w:txbxContent>
              </v:textbox>
            </v:rect>
            <v:shape id="_x0000_s1039" type="#_x0000_t32" style="position:absolute;left:3510;top:2541;width:360;height:0" o:connectortype="straight">
              <v:stroke endarrow="block"/>
            </v:shape>
            <v:shape id="_x0000_s1040" type="#_x0000_t32" style="position:absolute;left:2745;top:2887;width:15;height:1034;flip:x" o:connectortype="straight">
              <v:stroke endarrow="block"/>
            </v:shape>
            <v:shape id="_x0000_s1041" type="#_x0000_t32" style="position:absolute;left:5745;top:2772;width:585;height:15" o:connectortype="straight">
              <v:stroke endarrow="block"/>
            </v:shape>
            <v:shape id="_x0000_s1042" type="#_x0000_t32" style="position:absolute;left:5925;top:4002;width:405;height:0" o:connectortype="straight">
              <v:stroke endarrow="block"/>
            </v:shape>
            <v:shape id="_x0000_s1043" type="#_x0000_t32" style="position:absolute;left:8085;top:3372;width:750;height:0" o:connectortype="straight">
              <v:stroke endarrow="block"/>
            </v:shape>
            <v:shape id="_x0000_s1044" type="#_x0000_t32" style="position:absolute;left:3015;top:2887;width:0;height:650;flip:y" o:connectortype="straight">
              <v:stroke dashstyle="dash" endarrow="block"/>
            </v:shape>
            <v:shape id="_x0000_s1045" type="#_x0000_t32" style="position:absolute;left:3015;top:1841;width:1770;height:0;flip:x" o:connectortype="straight">
              <v:stroke dashstyle="dash"/>
            </v:shape>
            <v:shape id="_x0000_s1046" type="#_x0000_t32" style="position:absolute;left:3015;top:1841;width:0;height:295" o:connectortype="straight">
              <v:stroke dashstyle="dash" endarrow="block"/>
            </v:shape>
            <v:shape id="_x0000_s1047" type="#_x0000_t32" style="position:absolute;left:1696;top:2466;width:0;height:1806;flip:y" o:connectortype="straight">
              <v:stroke dashstyle="dash"/>
            </v:shape>
            <v:shape id="_x0000_s1048" type="#_x0000_t32" style="position:absolute;left:2745;top:1736;width:4440;height:0;flip:x" o:connectortype="straight">
              <v:stroke dashstyle="dash"/>
            </v:shape>
            <v:shape id="_x0000_s1049" type="#_x0000_t32" style="position:absolute;left:2760;top:1736;width:0;height:400" o:connectortype="straight">
              <v:stroke dashstyle="dash" endarrow="block"/>
            </v:shape>
            <v:shape id="_x0000_s1050" type="#_x0000_t32" style="position:absolute;left:2520;top:1601;width:7200;height:0;flip:x" o:connectortype="straight">
              <v:stroke dashstyle="dash"/>
            </v:shape>
            <v:shape id="_x0000_s1051" type="#_x0000_t32" style="position:absolute;left:2520;top:1601;width:0;height:535" o:connectortype="straight">
              <v:stroke dashstyle="dash" endarrow="block"/>
            </v:shape>
            <v:shape id="_x0000_s1052" type="#_x0000_t32" style="position:absolute;left:6165;top:1406;width:1;height:3525" o:connectortype="straight">
              <v:stroke dashstyle="dash"/>
            </v:shape>
            <v:shape id="_x0000_s1053" type="#_x0000_t32" style="position:absolute;left:8310;top:1406;width:0;height:3525" o:connectortype="straight">
              <v:stroke dashstyle="dash"/>
            </v:shape>
            <v:shape id="_x0000_s1054" type="#_x0000_t32" style="position:absolute;left:1695;top:4272;width:375;height:0;flip:x" o:connectortype="straight">
              <v:stroke dashstyle="dash"/>
            </v:shape>
          </v:group>
        </w:pic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32" style="position:absolute;left:0;text-align:left;margin-left:300.45pt;margin-top:2.5pt;width:0;height:43.95pt;flip:y;z-index:251658240" o:connectortype="straight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184.95pt;margin-top:7.75pt;width:0;height:8.75pt;flip:y;z-index:251658240" o:connectortype="straight">
            <v:stroke dashstyle="dash"/>
          </v:shape>
        </w:pic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7" type="#_x0000_t32" style="position:absolute;left:0;text-align:left;margin-left:25.95pt;margin-top:11.4pt;width:5.25pt;height:0;z-index:251658240" o:connectortype="straight">
            <v:stroke endarrow="block"/>
          </v:shape>
        </w:pic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184.95pt;margin-top:9.75pt;width:0;height:12.45pt;flip:y;z-index:251658240" o:connectortype="straight">
            <v:stroke dashstyle="dash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91.95pt;margin-top:9.75pt;width:93pt;height:0;flip:x;z-index:251658240" o:connectortype="straight">
            <v:stroke dashstyle="dash"/>
          </v:shape>
        </w:pic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8" type="#_x0000_t32" style="position:absolute;left:0;text-align:left;margin-left:116.7pt;margin-top:5.1pt;width:21.75pt;height:0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6" type="#_x0000_t32" style="position:absolute;left:0;text-align:left;margin-left:90.45pt;margin-top:5.1pt;width:21.75pt;height:0;z-index:251658240" o:connectortype="straight">
            <v:stroke endarrow="block"/>
          </v:shape>
        </w:pic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A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5" type="#_x0000_t32" style="position:absolute;left:0;text-align:left;margin-left:40.95pt;margin-top:8.7pt;width:24.75pt;height:0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прямая 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56" type="#_x0000_t32" style="position:absolute;left:0;text-align:left;margin-left:40.95pt;margin-top:8.4pt;width:24.75pt;height:0;flip:x;z-index:251658240" o:connectortype="straight">
            <v:stroke dashstyle="dash" endarrow="block"/>
          </v:shape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обратная связь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Рис.1. Блок-схема системы перспективного ресурсного обеспечения технологичным оборудованием образовательного процесса ЦВР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из блоков системы включает в пошаговую аналитическую проработку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этапы.</w:t>
      </w:r>
    </w:p>
    <w:p w:rsidR="009E4CA2" w:rsidRPr="001F2352" w:rsidRDefault="009E4CA2" w:rsidP="009E4C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 (аналитический)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кадрового и методического ресурсного обеспечения;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направления развития; 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задач, требующих решения;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потребности материально-технического оснащения;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предполагаемого эффекта от внедрения;</w:t>
      </w:r>
    </w:p>
    <w:p w:rsidR="009E4CA2" w:rsidRDefault="009E4CA2" w:rsidP="009E4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(внедрение):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материально-технического оснащения; </w:t>
      </w:r>
    </w:p>
    <w:p w:rsidR="009E4CA2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внедрение приобретенного оснащения;</w:t>
      </w:r>
    </w:p>
    <w:p w:rsidR="009E4CA2" w:rsidRPr="00BA6940" w:rsidRDefault="009E4CA2" w:rsidP="009E4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A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 w:rsidRPr="00BA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</w:t>
      </w:r>
      <w:r w:rsidRPr="00BA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эффективности внедрения </w:t>
      </w:r>
      <w:r w:rsidRPr="009D25F8">
        <w:rPr>
          <w:rFonts w:ascii="Times New Roman" w:hAnsi="Times New Roman" w:cs="Times New Roman"/>
          <w:sz w:val="24"/>
          <w:szCs w:val="24"/>
        </w:rPr>
        <w:t>технологичного оборудования в образовательные программы дополнительного образования детей;</w:t>
      </w:r>
    </w:p>
    <w:p w:rsidR="009E4CA2" w:rsidRPr="009D25F8" w:rsidRDefault="009E4CA2" w:rsidP="009E4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5F8">
        <w:rPr>
          <w:rFonts w:ascii="Times New Roman" w:hAnsi="Times New Roman" w:cs="Times New Roman"/>
          <w:sz w:val="24"/>
          <w:szCs w:val="24"/>
        </w:rPr>
        <w:t>Планирование дальнейшего развития.</w:t>
      </w:r>
    </w:p>
    <w:p w:rsidR="009E4CA2" w:rsidRPr="0006419F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примера можно 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 II блока системы перспективного ресурсного обеспечения по внедрению инновационного оборудования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было 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2014 года в соответствии с постановлением Правительства Санкт–Петербурга</w:t>
      </w:r>
      <w:r w:rsidRPr="0006419F">
        <w:rPr>
          <w:rFonts w:ascii="Times New Roman" w:hAnsi="Times New Roman" w:cs="Times New Roman"/>
          <w:sz w:val="24"/>
          <w:szCs w:val="24"/>
        </w:rPr>
        <w:t xml:space="preserve"> </w:t>
      </w:r>
      <w:r w:rsidRPr="009F3AC1">
        <w:rPr>
          <w:rFonts w:ascii="Times New Roman" w:hAnsi="Times New Roman" w:cs="Times New Roman"/>
          <w:sz w:val="24"/>
          <w:szCs w:val="24"/>
        </w:rPr>
        <w:t>от 28.02.2012 № 171 «О плане мероприятий  по развитию дополнительного образования детей в сфере научно-технического  творчества в Санкт-Петербурге на 2012-2015 годы»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CA2" w:rsidRDefault="009E4CA2" w:rsidP="009E4C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F3AC1">
        <w:rPr>
          <w:rFonts w:ascii="Times New Roman" w:hAnsi="Times New Roman" w:cs="Times New Roman"/>
          <w:sz w:val="24"/>
          <w:szCs w:val="24"/>
        </w:rPr>
        <w:t xml:space="preserve">сходя из </w:t>
      </w:r>
      <w:r>
        <w:rPr>
          <w:rFonts w:ascii="Times New Roman" w:hAnsi="Times New Roman" w:cs="Times New Roman"/>
          <w:sz w:val="24"/>
          <w:szCs w:val="24"/>
        </w:rPr>
        <w:t>результатов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этапного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системы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06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перспективном</w:t>
      </w:r>
      <w:r w:rsidRPr="009F3A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ресурсном обеспечении работы с технологичным оборудованием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используемым в реализации инновационных программ дополнительного образования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9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ЦВР «Академический» </w:t>
      </w:r>
      <w:r w:rsidRPr="009F3AC1">
        <w:rPr>
          <w:rFonts w:ascii="Times New Roman" w:hAnsi="Times New Roman" w:cs="Times New Roman"/>
          <w:sz w:val="24"/>
          <w:szCs w:val="24"/>
        </w:rPr>
        <w:t>поступило новое технологичное оборудование в фотолабораторию, класс робототехники, интерактивные доски, новые более мощные компьютерные блоки и комплект оборудования для лаборатории радиоэлектроники.</w:t>
      </w:r>
    </w:p>
    <w:p w:rsidR="009E4CA2" w:rsidRDefault="009E4CA2" w:rsidP="009E4CA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Техническое внедрение приобретенного оснащения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позволило получить </w:t>
      </w:r>
      <w:r w:rsidRPr="00291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 для всех участников образовательного процесса.</w:t>
      </w:r>
    </w:p>
    <w:p w:rsidR="009E4CA2" w:rsidRPr="005D2517" w:rsidRDefault="009E4CA2" w:rsidP="009E4CA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для</w:t>
      </w:r>
      <w:r w:rsidRPr="002916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обототехник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(ново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6774">
        <w:rPr>
          <w:rFonts w:ascii="Times New Roman" w:hAnsi="Times New Roman" w:cs="Times New Roman"/>
          <w:sz w:val="24"/>
          <w:szCs w:val="24"/>
        </w:rPr>
        <w:t xml:space="preserve">риобретен </w:t>
      </w:r>
      <w:r w:rsidRPr="005D2517">
        <w:rPr>
          <w:rFonts w:ascii="Times New Roman" w:hAnsi="Times New Roman" w:cs="Times New Roman"/>
          <w:i/>
          <w:sz w:val="24"/>
          <w:szCs w:val="24"/>
        </w:rPr>
        <w:t>класс робототехники</w:t>
      </w:r>
      <w:r w:rsidRPr="005D2517">
        <w:rPr>
          <w:rFonts w:ascii="Times New Roman" w:hAnsi="Times New Roman" w:cs="Times New Roman"/>
          <w:sz w:val="24"/>
          <w:szCs w:val="24"/>
        </w:rPr>
        <w:t xml:space="preserve">. </w:t>
      </w:r>
      <w:r w:rsidRPr="0029161C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4"/>
        </w:rPr>
        <w:t>педагога было н</w:t>
      </w:r>
      <w:r w:rsidRPr="009C6774">
        <w:rPr>
          <w:rFonts w:ascii="Times New Roman" w:hAnsi="Times New Roman" w:cs="Times New Roman"/>
          <w:sz w:val="24"/>
          <w:szCs w:val="24"/>
        </w:rPr>
        <w:t xml:space="preserve">аучить учащихся проектировать, создавать и программировать роботов с помощью </w:t>
      </w:r>
      <w:r w:rsidRPr="009C677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9C6774">
        <w:rPr>
          <w:rFonts w:ascii="Times New Roman" w:hAnsi="Times New Roman" w:cs="Times New Roman"/>
          <w:sz w:val="24"/>
          <w:szCs w:val="24"/>
        </w:rPr>
        <w:t>-конструкторов, оснащенных специальным микропроцессором, позволяющим создавать программируемые модели роботов и  программировать робота на выполнение определенных функций.</w:t>
      </w:r>
      <w:r w:rsidRPr="005D251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2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Наблюдаемый эффект внедрения состоит в следующем. </w:t>
      </w:r>
      <w:r w:rsidRPr="005D2517">
        <w:rPr>
          <w:rFonts w:ascii="Times New Roman" w:hAnsi="Times New Roman" w:cs="Times New Roman"/>
          <w:sz w:val="24"/>
          <w:szCs w:val="24"/>
        </w:rPr>
        <w:t>Формируется умение работы в</w:t>
      </w:r>
      <w:r w:rsidRPr="009C6774">
        <w:rPr>
          <w:rFonts w:ascii="Times New Roman" w:hAnsi="Times New Roman" w:cs="Times New Roman"/>
          <w:sz w:val="24"/>
          <w:szCs w:val="24"/>
        </w:rPr>
        <w:t xml:space="preserve"> команде над практическими заданиями, что способствует глубокому изучению составляющих современных роботов. Визуальная программная среда позволяет эффективно изучить алгоритмизацию и программирование.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74">
        <w:rPr>
          <w:rFonts w:ascii="Times New Roman" w:hAnsi="Times New Roman" w:cs="Times New Roman"/>
          <w:sz w:val="24"/>
          <w:szCs w:val="24"/>
        </w:rPr>
        <w:t>У детей эффективно развиваются творческая инициатива и самостоятельность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6774">
        <w:rPr>
          <w:rFonts w:ascii="Times New Roman" w:hAnsi="Times New Roman" w:cs="Times New Roman"/>
          <w:sz w:val="24"/>
          <w:szCs w:val="24"/>
        </w:rPr>
        <w:t xml:space="preserve">психофизиологические качества - память, внимание, способность логически мыслить, анализировать, концентрировать внимание на главном. </w:t>
      </w:r>
    </w:p>
    <w:p w:rsidR="009E4CA2" w:rsidRPr="005D2517" w:rsidRDefault="009E4CA2" w:rsidP="009E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B4508">
        <w:rPr>
          <w:rFonts w:ascii="Times New Roman" w:hAnsi="Times New Roman" w:cs="Times New Roman"/>
          <w:i/>
          <w:sz w:val="24"/>
          <w:szCs w:val="24"/>
        </w:rPr>
        <w:t>фотодела</w:t>
      </w:r>
      <w:r>
        <w:rPr>
          <w:rFonts w:ascii="Times New Roman" w:hAnsi="Times New Roman" w:cs="Times New Roman"/>
          <w:sz w:val="24"/>
          <w:szCs w:val="24"/>
        </w:rPr>
        <w:t xml:space="preserve"> закуплены</w:t>
      </w:r>
      <w:r w:rsidRPr="005D25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осветительно-постановочный комплекс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аудио-видео комплекс фото-видео студии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фотооборудование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целью</w:t>
      </w:r>
      <w:r w:rsidRPr="005D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6774">
        <w:rPr>
          <w:rFonts w:ascii="Times New Roman" w:hAnsi="Times New Roman" w:cs="Times New Roman"/>
          <w:sz w:val="24"/>
          <w:szCs w:val="24"/>
        </w:rPr>
        <w:t>существить переход на более прогрессивный и современный уровень работы с цифровыми технологиями</w:t>
      </w:r>
      <w:r>
        <w:rPr>
          <w:rFonts w:ascii="Times New Roman" w:hAnsi="Times New Roman" w:cs="Times New Roman"/>
          <w:sz w:val="24"/>
          <w:szCs w:val="24"/>
        </w:rPr>
        <w:t xml:space="preserve">. Появились новые возможности </w:t>
      </w:r>
      <w:r w:rsidRPr="009C6774">
        <w:rPr>
          <w:rFonts w:ascii="Times New Roman" w:hAnsi="Times New Roman" w:cs="Times New Roman"/>
          <w:sz w:val="24"/>
          <w:szCs w:val="24"/>
        </w:rPr>
        <w:t xml:space="preserve">по обработке изображений, по исправлению дефектов старых фотографий (ретушь, </w:t>
      </w:r>
      <w:proofErr w:type="spellStart"/>
      <w:r w:rsidRPr="009C6774">
        <w:rPr>
          <w:rFonts w:ascii="Times New Roman" w:hAnsi="Times New Roman" w:cs="Times New Roman"/>
          <w:sz w:val="24"/>
          <w:szCs w:val="24"/>
        </w:rPr>
        <w:t>цветокоррекция</w:t>
      </w:r>
      <w:proofErr w:type="spellEnd"/>
      <w:r w:rsidRPr="009C6774">
        <w:rPr>
          <w:rFonts w:ascii="Times New Roman" w:hAnsi="Times New Roman" w:cs="Times New Roman"/>
          <w:sz w:val="24"/>
          <w:szCs w:val="24"/>
        </w:rPr>
        <w:t>), по художественной обработке цифровых снимков (создание неожиданных эффектов)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6774">
        <w:rPr>
          <w:rFonts w:ascii="Times New Roman" w:hAnsi="Times New Roman" w:cs="Times New Roman"/>
          <w:sz w:val="24"/>
          <w:szCs w:val="24"/>
        </w:rPr>
        <w:t xml:space="preserve"> по выполнению фото разных жанров (портрет, натюрморт, портрет, макрофотографии и т.д.)</w:t>
      </w:r>
      <w:r>
        <w:rPr>
          <w:rFonts w:ascii="Times New Roman" w:hAnsi="Times New Roman" w:cs="Times New Roman"/>
          <w:sz w:val="24"/>
          <w:szCs w:val="24"/>
        </w:rPr>
        <w:t>. При этом</w:t>
      </w:r>
      <w:r w:rsidRPr="005D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C6774">
        <w:rPr>
          <w:rFonts w:ascii="Times New Roman" w:hAnsi="Times New Roman" w:cs="Times New Roman"/>
          <w:sz w:val="24"/>
          <w:szCs w:val="24"/>
        </w:rPr>
        <w:t>акладывается фундамент знаний для развития  творческой личности в техническом и художественном плане и дальнейшем выборе профессии.</w:t>
      </w:r>
    </w:p>
    <w:p w:rsidR="009E4CA2" w:rsidRDefault="009E4CA2" w:rsidP="009E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классы </w:t>
      </w:r>
      <w:proofErr w:type="spellStart"/>
      <w:proofErr w:type="gramStart"/>
      <w:r w:rsidRPr="007B4508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ИКТ-технологий</w:t>
      </w:r>
      <w:proofErr w:type="spellEnd"/>
      <w:proofErr w:type="gramEnd"/>
      <w:r w:rsidRPr="007B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6774">
        <w:rPr>
          <w:rFonts w:ascii="Times New Roman" w:hAnsi="Times New Roman" w:cs="Times New Roman"/>
          <w:sz w:val="24"/>
          <w:szCs w:val="24"/>
        </w:rPr>
        <w:t>риобретены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интерактивн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комплекте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465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системные блоки с оперативной памятью 4GB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позволило п</w:t>
      </w:r>
      <w:r w:rsidRPr="009C6774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наглядность, </w:t>
      </w:r>
      <w:r w:rsidRPr="009C6774">
        <w:rPr>
          <w:rFonts w:ascii="Times New Roman" w:hAnsi="Times New Roman" w:cs="Times New Roman"/>
          <w:sz w:val="24"/>
          <w:szCs w:val="24"/>
        </w:rPr>
        <w:lastRenderedPageBreak/>
        <w:t>облегч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восприятие материала, увеличи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скорость и объем изучаемого материала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реализовать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коллективн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C6774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6774">
        <w:rPr>
          <w:rFonts w:ascii="Times New Roman" w:hAnsi="Times New Roman" w:cs="Times New Roman"/>
          <w:sz w:val="24"/>
          <w:szCs w:val="24"/>
        </w:rPr>
        <w:t xml:space="preserve"> обучения, добавляющ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C6774">
        <w:rPr>
          <w:rFonts w:ascii="Times New Roman" w:hAnsi="Times New Roman" w:cs="Times New Roman"/>
          <w:sz w:val="24"/>
          <w:szCs w:val="24"/>
        </w:rPr>
        <w:t xml:space="preserve"> динамику и мотивацию учебному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CA2" w:rsidRPr="009A29A0" w:rsidRDefault="009E4CA2" w:rsidP="009E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06E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6406E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Радиоэлектроника»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пополнилось</w:t>
      </w:r>
      <w:r w:rsidRPr="009A29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для лаборатории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класса</w:t>
      </w:r>
      <w:r w:rsidRPr="009A29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7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радиоэлектроники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связи с этим </w:t>
      </w:r>
      <w:r w:rsidRPr="009C6774">
        <w:rPr>
          <w:rFonts w:ascii="Times New Roman" w:hAnsi="Times New Roman" w:cs="Times New Roman"/>
          <w:sz w:val="24"/>
          <w:szCs w:val="24"/>
        </w:rPr>
        <w:t>улучши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санитарные нормы при проведении монтажных работ (улучшил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C6774">
        <w:rPr>
          <w:rFonts w:ascii="Times New Roman" w:hAnsi="Times New Roman" w:cs="Times New Roman"/>
          <w:sz w:val="24"/>
          <w:szCs w:val="24"/>
        </w:rPr>
        <w:t>сь освещение и вытяжн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C6774">
        <w:rPr>
          <w:rFonts w:ascii="Times New Roman" w:hAnsi="Times New Roman" w:cs="Times New Roman"/>
          <w:sz w:val="24"/>
          <w:szCs w:val="24"/>
        </w:rPr>
        <w:t xml:space="preserve"> вентиляци</w:t>
      </w:r>
      <w:r>
        <w:rPr>
          <w:rFonts w:ascii="Times New Roman" w:hAnsi="Times New Roman" w:cs="Times New Roman"/>
          <w:sz w:val="24"/>
          <w:szCs w:val="24"/>
        </w:rPr>
        <w:t>я). У</w:t>
      </w:r>
      <w:r w:rsidRPr="009C6774">
        <w:rPr>
          <w:rFonts w:ascii="Times New Roman" w:hAnsi="Times New Roman" w:cs="Times New Roman"/>
          <w:sz w:val="24"/>
          <w:szCs w:val="24"/>
        </w:rPr>
        <w:t>лучши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качество пайки, особенно миниатюрных радиокомпонентов</w:t>
      </w:r>
      <w:r>
        <w:rPr>
          <w:rFonts w:ascii="Times New Roman" w:hAnsi="Times New Roman" w:cs="Times New Roman"/>
          <w:sz w:val="24"/>
          <w:szCs w:val="24"/>
        </w:rPr>
        <w:t>. Легче стало</w:t>
      </w:r>
      <w:r w:rsidRPr="009C6774">
        <w:rPr>
          <w:rFonts w:ascii="Times New Roman" w:hAnsi="Times New Roman" w:cs="Times New Roman"/>
          <w:sz w:val="24"/>
          <w:szCs w:val="24"/>
        </w:rPr>
        <w:t xml:space="preserve"> составлять топографию печатной платы, распол</w:t>
      </w:r>
      <w:r>
        <w:rPr>
          <w:rFonts w:ascii="Times New Roman" w:hAnsi="Times New Roman" w:cs="Times New Roman"/>
          <w:sz w:val="24"/>
          <w:szCs w:val="24"/>
        </w:rPr>
        <w:t>агать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радиокомпонент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C6774">
        <w:rPr>
          <w:rFonts w:ascii="Times New Roman" w:hAnsi="Times New Roman" w:cs="Times New Roman"/>
          <w:sz w:val="24"/>
          <w:szCs w:val="24"/>
        </w:rPr>
        <w:t xml:space="preserve"> на монтажной плате, </w:t>
      </w:r>
      <w:r>
        <w:rPr>
          <w:rFonts w:ascii="Times New Roman" w:hAnsi="Times New Roman" w:cs="Times New Roman"/>
          <w:sz w:val="24"/>
          <w:szCs w:val="24"/>
        </w:rPr>
        <w:t>искать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схемны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6774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</w:t>
      </w:r>
      <w:r w:rsidRPr="009C6774">
        <w:rPr>
          <w:rFonts w:ascii="Times New Roman" w:hAnsi="Times New Roman" w:cs="Times New Roman"/>
          <w:sz w:val="24"/>
          <w:szCs w:val="24"/>
        </w:rPr>
        <w:t>конструирования</w:t>
      </w:r>
      <w:proofErr w:type="spellEnd"/>
      <w:r w:rsidRPr="009C6774">
        <w:rPr>
          <w:rFonts w:ascii="Times New Roman" w:hAnsi="Times New Roman" w:cs="Times New Roman"/>
          <w:sz w:val="24"/>
          <w:szCs w:val="24"/>
        </w:rPr>
        <w:t xml:space="preserve">, на более высоком уровне </w:t>
      </w:r>
      <w:r>
        <w:rPr>
          <w:rFonts w:ascii="Times New Roman" w:hAnsi="Times New Roman" w:cs="Times New Roman"/>
          <w:sz w:val="24"/>
          <w:szCs w:val="24"/>
        </w:rPr>
        <w:t xml:space="preserve">стало </w:t>
      </w:r>
      <w:r w:rsidRPr="009C6774">
        <w:rPr>
          <w:rFonts w:ascii="Times New Roman" w:hAnsi="Times New Roman" w:cs="Times New Roman"/>
          <w:sz w:val="24"/>
          <w:szCs w:val="24"/>
        </w:rPr>
        <w:t>вести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9C6774">
        <w:rPr>
          <w:rFonts w:ascii="Times New Roman" w:hAnsi="Times New Roman" w:cs="Times New Roman"/>
          <w:sz w:val="24"/>
          <w:szCs w:val="24"/>
        </w:rPr>
        <w:t xml:space="preserve"> конструирование, настройк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6774">
        <w:rPr>
          <w:rFonts w:ascii="Times New Roman" w:hAnsi="Times New Roman" w:cs="Times New Roman"/>
          <w:sz w:val="24"/>
          <w:szCs w:val="24"/>
        </w:rPr>
        <w:t xml:space="preserve"> радиоэлектронных устройств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9C6774">
        <w:rPr>
          <w:rFonts w:ascii="Times New Roman" w:hAnsi="Times New Roman" w:cs="Times New Roman"/>
          <w:sz w:val="24"/>
          <w:szCs w:val="24"/>
        </w:rPr>
        <w:t>спользование электронного микроскопа, подключенного к компьютеру, позволяет улучшить качество пайки и найти неисправности в пайке миниатюрных схем и устранить их.</w:t>
      </w:r>
      <w:r>
        <w:rPr>
          <w:rFonts w:ascii="Times New Roman" w:hAnsi="Times New Roman" w:cs="Times New Roman"/>
          <w:sz w:val="24"/>
          <w:szCs w:val="24"/>
        </w:rPr>
        <w:t xml:space="preserve"> Все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формирование качеств современного человека в требованиях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созидательную активность,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изобретательность, способность к самостоятельному эффективному решению проблем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9E4CA2" w:rsidRPr="009F3AC1" w:rsidRDefault="009E4CA2" w:rsidP="009E4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эффективность использования обновленной материально-технической базы способствует повышению технической грамотности учащихся, их социальной адаптации и самореализации. Анализ полученных результатов обучения, проведенный в соответствии с этапами 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A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системы, позволяет планировать дальнейшее целевое приобретение оборудования для модернизации учебного процесса.</w:t>
      </w:r>
    </w:p>
    <w:p w:rsidR="009E4CA2" w:rsidRDefault="009E4CA2" w:rsidP="009E4C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CA2" w:rsidRDefault="009E4CA2" w:rsidP="009E4CA2"/>
    <w:p w:rsidR="002D71FE" w:rsidRDefault="002D71FE"/>
    <w:sectPr w:rsidR="002D71FE" w:rsidSect="00E7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225"/>
    <w:multiLevelType w:val="hybridMultilevel"/>
    <w:tmpl w:val="0602D1BA"/>
    <w:lvl w:ilvl="0" w:tplc="6D688EAC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A2"/>
    <w:rsid w:val="002D71FE"/>
    <w:rsid w:val="00776014"/>
    <w:rsid w:val="009E4CA2"/>
    <w:rsid w:val="00A620D8"/>
    <w:rsid w:val="00C0546C"/>
    <w:rsid w:val="00D20DA1"/>
    <w:rsid w:val="00F00DC8"/>
    <w:rsid w:val="00F9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26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27"/>
        <o:r id="V:Rule8" type="connector" idref="#_x0000_s1028"/>
        <o:r id="V:Rule9" type="connector" idref="#_x0000_s1044"/>
        <o:r id="V:Rule10" type="connector" idref="#_x0000_s1029"/>
        <o:r id="V:Rule11" type="connector" idref="#_x0000_s1045"/>
        <o:r id="V:Rule12" type="connector" idref="#_x0000_s1046"/>
        <o:r id="V:Rule13" type="connector" idref="#_x0000_s1047"/>
        <o:r id="V:Rule14" type="connector" idref="#_x0000_s1030"/>
        <o:r id="V:Rule15" type="connector" idref="#_x0000_s1048"/>
        <o:r id="V:Rule16" type="connector" idref="#_x0000_s1049"/>
        <o:r id="V:Rule17" type="connector" idref="#_x0000_s1031"/>
        <o:r id="V:Rule18" type="connector" idref="#_x0000_s1050"/>
        <o:r id="V:Rule19" type="connector" idref="#_x0000_s1051"/>
        <o:r id="V:Rule20" type="connector" idref="#_x0000_s1052"/>
        <o:r id="V:Rule21" type="connector" idref="#_x0000_s1053"/>
        <o:r id="V:Rule22" type="connector" idref="#_x0000_s1054"/>
        <o:r id="V:Rule23" type="connector" idref="#_x0000_s1055"/>
        <o:r id="V:Rule24" type="connector" idref="#_x0000_s1056"/>
        <o:r id="V:Rule25" type="connector" idref="#_x0000_s1057"/>
        <o:r id="V:Rule2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A2"/>
    <w:pPr>
      <w:ind w:left="720"/>
      <w:contextualSpacing/>
    </w:pPr>
  </w:style>
  <w:style w:type="paragraph" w:customStyle="1" w:styleId="western">
    <w:name w:val="western"/>
    <w:basedOn w:val="a"/>
    <w:rsid w:val="009E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2015-12-11T12:31:00Z</dcterms:created>
  <dcterms:modified xsi:type="dcterms:W3CDTF">2015-12-11T13:07:00Z</dcterms:modified>
</cp:coreProperties>
</file>