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1C" w:rsidRPr="00DF0CCD" w:rsidRDefault="00DF0CCD" w:rsidP="00FA341C">
      <w:pPr>
        <w:spacing w:after="0" w:line="360" w:lineRule="auto"/>
        <w:ind w:left="1134" w:right="113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CCD">
        <w:rPr>
          <w:rFonts w:ascii="Times New Roman" w:hAnsi="Times New Roman" w:cs="Times New Roman"/>
          <w:b/>
          <w:sz w:val="28"/>
          <w:szCs w:val="28"/>
        </w:rPr>
        <w:t>Проблемно-диалоговая технология обучения на уроках русского языка и литературы.</w:t>
      </w:r>
    </w:p>
    <w:p w:rsidR="00FA341C" w:rsidRDefault="00DF0CCD" w:rsidP="00FA341C">
      <w:pPr>
        <w:spacing w:after="0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CCD" w:rsidRDefault="00DF0CCD" w:rsidP="00FA341C">
      <w:pPr>
        <w:spacing w:after="0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C6ADC" w:rsidRDefault="007B197B" w:rsidP="00FA341C">
      <w:pPr>
        <w:spacing w:after="0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6435">
        <w:rPr>
          <w:rFonts w:ascii="Times New Roman" w:hAnsi="Times New Roman" w:cs="Times New Roman"/>
          <w:sz w:val="28"/>
          <w:szCs w:val="28"/>
        </w:rPr>
        <w:t xml:space="preserve">Современное образование в России перешло на </w:t>
      </w:r>
      <w:bookmarkEnd w:id="0"/>
      <w:r w:rsidRPr="0064643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второго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(ФГОС). Сегодня нет такого учителя, который не задумался бы над вопросами: «Как сделать урок интересным? Как организовать современный урок?»</w:t>
      </w:r>
    </w:p>
    <w:p w:rsidR="00583089" w:rsidRDefault="007B197B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требований времени,  меняется подход к современному уроку. Перед учителем стоит задача использовать системно-деятельный подход в обучении школьников. Приёмы и технологии обучения должны быть нацелены на развитие интереса, мотивации, активности, увеличение самостоятельности школьника. </w:t>
      </w:r>
    </w:p>
    <w:p w:rsidR="00583089" w:rsidRDefault="00583089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технологии интересно то, что новые знания не даются в готовом виде, а приобретаются детьми в процессе самостоятельной исследовательской деятельности. Учитель не наставник, а друг, помогающий справиться с возникшими проблемами на уроке. </w:t>
      </w:r>
    </w:p>
    <w:p w:rsidR="00583089" w:rsidRDefault="00583089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проблемного диалога на уроках русского языка и литературы развивает у школьников умение решать поставленные перед ними проблемы, вести диалог, извлекать информацию, делать логические выводы. </w:t>
      </w:r>
    </w:p>
    <w:p w:rsidR="00A1474F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 таким урокам я использую следующие этапы:</w:t>
      </w:r>
    </w:p>
    <w:p w:rsidR="00A1474F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проблемной ситуации на уроке и её формулирование учениками.</w:t>
      </w:r>
    </w:p>
    <w:p w:rsidR="00A1474F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2.Актуализация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знаний.</w:t>
      </w:r>
    </w:p>
    <w:p w:rsidR="00A1474F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3.Поиск решения проблемы.</w:t>
      </w:r>
    </w:p>
    <w:p w:rsidR="00A1474F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4.Выражение решения. Применение новых знаний.</w:t>
      </w:r>
    </w:p>
    <w:p w:rsidR="00E105A2" w:rsidRDefault="00A1474F" w:rsidP="000B55AF">
      <w:pPr>
        <w:shd w:val="clear" w:color="auto" w:fill="FFFFFF"/>
        <w:tabs>
          <w:tab w:val="left" w:pos="9498"/>
        </w:tabs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  <w:r w:rsidR="00583089">
        <w:rPr>
          <w:rFonts w:ascii="Times New Roman" w:hAnsi="Times New Roman" w:cs="Times New Roman"/>
          <w:sz w:val="28"/>
          <w:szCs w:val="28"/>
        </w:rPr>
        <w:t xml:space="preserve"> нужно создать проблемную ситуацию</w:t>
      </w:r>
      <w:r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583089">
        <w:rPr>
          <w:rFonts w:ascii="Times New Roman" w:hAnsi="Times New Roman" w:cs="Times New Roman"/>
          <w:sz w:val="28"/>
          <w:szCs w:val="28"/>
        </w:rPr>
        <w:t>. Она, конечно, может</w:t>
      </w:r>
      <w:r w:rsidR="007B197B">
        <w:rPr>
          <w:rFonts w:ascii="Times New Roman" w:hAnsi="Times New Roman" w:cs="Times New Roman"/>
          <w:sz w:val="28"/>
          <w:szCs w:val="28"/>
        </w:rPr>
        <w:t xml:space="preserve"> </w:t>
      </w:r>
      <w:r w:rsidR="00583089">
        <w:rPr>
          <w:rFonts w:ascii="Times New Roman" w:hAnsi="Times New Roman" w:cs="Times New Roman"/>
          <w:sz w:val="28"/>
          <w:szCs w:val="28"/>
        </w:rPr>
        <w:t xml:space="preserve">возникнуть сама собой, но для достижения поставленной цели, учитель должен тщательно продумать, когда и как проблема </w:t>
      </w:r>
      <w:r w:rsidR="00A57474">
        <w:rPr>
          <w:rFonts w:ascii="Times New Roman" w:hAnsi="Times New Roman" w:cs="Times New Roman"/>
          <w:sz w:val="28"/>
          <w:szCs w:val="28"/>
        </w:rPr>
        <w:t>возникнет на уроке. Сделать так, чтобы ученики самостоятельно сформулировали проблему урока в виде темы и цели. Это можно сделать по-разному. Например, учащиеся получают задание, которое невозможно выполнить без новых знаний. Так возникает проблемный диалог. В результате учитель подводит учеников к осознанию нехватки знаний и формулированию проблемы урока в виде темы и цели</w:t>
      </w:r>
      <w:r w:rsidR="00E105A2">
        <w:rPr>
          <w:rFonts w:ascii="Times New Roman" w:hAnsi="Times New Roman" w:cs="Times New Roman"/>
          <w:sz w:val="28"/>
          <w:szCs w:val="28"/>
        </w:rPr>
        <w:t>.</w:t>
      </w:r>
      <w:r w:rsidR="000B5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74" w:rsidRDefault="00A57474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проблема будет сформулирована, начнётся основной этап урока. Он предполагает самостоятельную работу учащихся. </w:t>
      </w:r>
      <w:r w:rsidR="00E05192">
        <w:rPr>
          <w:rFonts w:ascii="Times New Roman" w:hAnsi="Times New Roman" w:cs="Times New Roman"/>
          <w:sz w:val="28"/>
          <w:szCs w:val="28"/>
        </w:rPr>
        <w:t xml:space="preserve">Работая над этим, следует спланировать применение разных приёмов. Например, выполнение ряда заданий по изученному материалу, выдвижение версий, актуализация знаний в виде мозгового штурма. </w:t>
      </w:r>
    </w:p>
    <w:p w:rsidR="00BA2783" w:rsidRPr="00BA2783" w:rsidRDefault="00BA2783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2783">
        <w:rPr>
          <w:rFonts w:ascii="Times New Roman" w:hAnsi="Times New Roman" w:cs="Times New Roman"/>
          <w:sz w:val="28"/>
          <w:szCs w:val="28"/>
        </w:rPr>
        <w:t xml:space="preserve">Например, на заключительном уроке по роману А. С. Пушкина «Дубровский», учитель задаёт следующий вопрос: «Роман А. Пушкина остался незавершённым, как вы думаете, как могла сложиться дальнейшая судьба главных героев?» После выдвижения гипотез и обсуждения предложенных вариантов учитель знакомит учащихся с </w:t>
      </w:r>
      <w:r w:rsidRPr="00BA2783">
        <w:rPr>
          <w:rFonts w:ascii="Times New Roman" w:hAnsi="Times New Roman" w:cs="Times New Roman"/>
          <w:sz w:val="28"/>
          <w:szCs w:val="28"/>
        </w:rPr>
        <w:lastRenderedPageBreak/>
        <w:t>черновыми записями Пушкина, набросками плана третьего ненаписанного тома.</w:t>
      </w:r>
    </w:p>
    <w:p w:rsidR="00E05192" w:rsidRDefault="00E05192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необходимо спланировать решение проблемы. Для этого нужно </w:t>
      </w:r>
      <w:r w:rsidR="00821173">
        <w:rPr>
          <w:rFonts w:ascii="Times New Roman" w:hAnsi="Times New Roman" w:cs="Times New Roman"/>
          <w:sz w:val="28"/>
          <w:szCs w:val="28"/>
        </w:rPr>
        <w:t xml:space="preserve">сформулировать свой вывод по проблеме, к которому при помощи учителя ученики смогут прийти сами. Затем выбрать такие источники для решения проблемы учениками, в которых не будет готового ответа, вывода. Например, </w:t>
      </w:r>
      <w:r w:rsidR="00FC22A1">
        <w:rPr>
          <w:rFonts w:ascii="Times New Roman" w:hAnsi="Times New Roman" w:cs="Times New Roman"/>
          <w:sz w:val="28"/>
          <w:szCs w:val="28"/>
        </w:rPr>
        <w:t>на уроках русского языка ученикам нужно сформулировать правило. Для этого можно провести работу с текстом (предварительно подобрав), из которого дети увидят закономерность написания орфограммы и логически выведут правило, подтверждённое аргументами.</w:t>
      </w:r>
    </w:p>
    <w:p w:rsidR="0082301D" w:rsidRDefault="00FC22A1" w:rsidP="005B59E1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работа будет направлена на поиск решения проблемы с помощью диалога. </w:t>
      </w:r>
      <w:r w:rsidR="00337C3B">
        <w:rPr>
          <w:rFonts w:ascii="Times New Roman" w:hAnsi="Times New Roman" w:cs="Times New Roman"/>
          <w:sz w:val="28"/>
          <w:szCs w:val="28"/>
        </w:rPr>
        <w:t>Можно подобрать цепочку вопросов, вытекающих один из другого. Тем самым подвести к правильному ответу. Такой диалог способствует развитию логики. А можно составить вопросы, на которые будут разные правильные ответы. Это развивает творчество учеников.</w:t>
      </w:r>
      <w:r w:rsidR="005B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2A1" w:rsidRDefault="00230A21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 учитель должен продумать </w:t>
      </w:r>
      <w:r w:rsidR="00337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возможное </w:t>
      </w:r>
      <w:r w:rsidR="00A7778A">
        <w:rPr>
          <w:rFonts w:ascii="Times New Roman" w:hAnsi="Times New Roman" w:cs="Times New Roman"/>
          <w:sz w:val="28"/>
          <w:szCs w:val="28"/>
        </w:rPr>
        <w:t xml:space="preserve">выражение решения </w:t>
      </w:r>
      <w:r>
        <w:rPr>
          <w:rFonts w:ascii="Times New Roman" w:hAnsi="Times New Roman" w:cs="Times New Roman"/>
          <w:sz w:val="28"/>
          <w:szCs w:val="28"/>
        </w:rPr>
        <w:t xml:space="preserve"> проблемы. </w:t>
      </w:r>
      <w:r w:rsidR="003207A0">
        <w:rPr>
          <w:rFonts w:ascii="Times New Roman" w:hAnsi="Times New Roman" w:cs="Times New Roman"/>
          <w:sz w:val="28"/>
          <w:szCs w:val="28"/>
        </w:rPr>
        <w:t>Это могут быть вопросы, выводы, продуктивное прим</w:t>
      </w:r>
      <w:r w:rsidR="001E6909">
        <w:rPr>
          <w:rFonts w:ascii="Times New Roman" w:hAnsi="Times New Roman" w:cs="Times New Roman"/>
          <w:sz w:val="28"/>
          <w:szCs w:val="28"/>
        </w:rPr>
        <w:t>енение (Нужны ли нам обращения?</w:t>
      </w:r>
      <w:r w:rsidR="003207A0">
        <w:rPr>
          <w:rFonts w:ascii="Times New Roman" w:hAnsi="Times New Roman" w:cs="Times New Roman"/>
          <w:sz w:val="28"/>
          <w:szCs w:val="28"/>
        </w:rPr>
        <w:t>)</w:t>
      </w:r>
      <w:r w:rsidR="001E6909">
        <w:rPr>
          <w:rFonts w:ascii="Times New Roman" w:hAnsi="Times New Roman" w:cs="Times New Roman"/>
          <w:sz w:val="28"/>
          <w:szCs w:val="28"/>
        </w:rPr>
        <w:t>.</w:t>
      </w:r>
    </w:p>
    <w:p w:rsidR="0098109E" w:rsidRDefault="00AF5BEA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качественно новых образовательных результатов возможно лишь при системном включении обучающихся в самостоятельную учебно-познавательную деятельность. Именно системно-деятельный подход  является признанным. Его главный принцип –</w:t>
      </w:r>
      <w:r w:rsidR="0032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учиться.</w:t>
      </w:r>
      <w:r w:rsidR="003207A0">
        <w:rPr>
          <w:rFonts w:ascii="Times New Roman" w:hAnsi="Times New Roman" w:cs="Times New Roman"/>
          <w:sz w:val="28"/>
          <w:szCs w:val="28"/>
        </w:rPr>
        <w:t xml:space="preserve"> При таком подходе мы сможем научить ребёнка думать, действовать, а не просто сидеть и брать готовые и</w:t>
      </w:r>
      <w:r w:rsidR="0098109E">
        <w:rPr>
          <w:rFonts w:ascii="Times New Roman" w:hAnsi="Times New Roman" w:cs="Times New Roman"/>
          <w:sz w:val="28"/>
          <w:szCs w:val="28"/>
        </w:rPr>
        <w:t>стины.</w:t>
      </w:r>
    </w:p>
    <w:p w:rsidR="003207A0" w:rsidRDefault="0098109E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109E">
        <w:rPr>
          <w:rFonts w:ascii="Times New Roman" w:hAnsi="Times New Roman" w:cs="Times New Roman"/>
          <w:color w:val="000000"/>
          <w:sz w:val="28"/>
          <w:szCs w:val="28"/>
        </w:rPr>
        <w:t xml:space="preserve">Проблемно-диалогическое обучение, на мой взгляд, является одной из самых эффективных технологий, позволяющий реализовать системно-деятельный подход в обучении и воспитании. При этом  </w:t>
      </w:r>
      <w:r w:rsidR="001E6909">
        <w:rPr>
          <w:rFonts w:ascii="Times New Roman" w:hAnsi="Times New Roman" w:cs="Times New Roman"/>
          <w:color w:val="000000"/>
          <w:sz w:val="28"/>
          <w:szCs w:val="28"/>
        </w:rPr>
        <w:t xml:space="preserve">  данная технология</w:t>
      </w:r>
      <w:r w:rsidRPr="00981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9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результативной, поскольку обеспечивает выс</w:t>
      </w:r>
      <w:r w:rsidR="001E6909">
        <w:rPr>
          <w:rFonts w:ascii="Times New Roman" w:hAnsi="Times New Roman" w:cs="Times New Roman"/>
          <w:sz w:val="28"/>
          <w:szCs w:val="28"/>
        </w:rPr>
        <w:t>окое качество усвоения знаний, э</w:t>
      </w:r>
      <w:r>
        <w:rPr>
          <w:rFonts w:ascii="Times New Roman" w:hAnsi="Times New Roman" w:cs="Times New Roman"/>
          <w:sz w:val="28"/>
          <w:szCs w:val="28"/>
        </w:rPr>
        <w:t xml:space="preserve">ффективное развитие интеллекта и творческих способностей, воспитание активной личности. </w:t>
      </w:r>
      <w:r w:rsidR="001E69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474F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54699" w:rsidRDefault="00A1474F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r w:rsidR="00ED67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6748" w:rsidRDefault="00ED6748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1.Левенсова Л.А. Современные подходы к преподаванию в условиях введения и реализации ФГОС// Методист. – 2014.- №3.</w:t>
      </w:r>
    </w:p>
    <w:p w:rsidR="00ED6748" w:rsidRDefault="00ED6748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2.Левитская Н.А. Проектирование современного урока в контексте федеральных стандартов второго поколения// Школьные технологии. - 2013. - №3.  </w:t>
      </w:r>
    </w:p>
    <w:p w:rsidR="00ED6748" w:rsidRPr="00ED6748" w:rsidRDefault="00ED6748" w:rsidP="00FA341C">
      <w:pPr>
        <w:spacing w:after="100" w:afterAutospacing="1" w:line="360" w:lineRule="auto"/>
        <w:ind w:left="1134" w:right="113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3.Мельникова Е.Л. Проблемный урок, или Как открывать знания с учениками: Пособие для учителя. – М., 2002 г.</w:t>
      </w:r>
    </w:p>
    <w:tbl>
      <w:tblPr>
        <w:tblW w:w="11334" w:type="dxa"/>
        <w:tblInd w:w="-55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34"/>
      </w:tblGrid>
      <w:tr w:rsidR="00154699" w:rsidRPr="00ED6748" w:rsidTr="00FA341C">
        <w:trPr>
          <w:trHeight w:val="251"/>
        </w:trPr>
        <w:tc>
          <w:tcPr>
            <w:tcW w:w="11334" w:type="dxa"/>
          </w:tcPr>
          <w:p w:rsidR="00154699" w:rsidRPr="00ED6748" w:rsidRDefault="00ED6748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4699" w:rsidRPr="00ED6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5194D" w:rsidRPr="00ED6748" w:rsidTr="00FA341C">
        <w:trPr>
          <w:trHeight w:val="251"/>
        </w:trPr>
        <w:tc>
          <w:tcPr>
            <w:tcW w:w="11334" w:type="dxa"/>
            <w:tcBorders>
              <w:left w:val="nil"/>
              <w:bottom w:val="nil"/>
              <w:right w:val="nil"/>
            </w:tcBorders>
          </w:tcPr>
          <w:p w:rsidR="00E5194D" w:rsidRPr="00ED6748" w:rsidRDefault="00ED6748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1138C" w:rsidRPr="00ED6748" w:rsidRDefault="0051138C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38C" w:rsidRPr="00ED6748" w:rsidTr="00FA341C">
        <w:trPr>
          <w:trHeight w:val="251"/>
        </w:trPr>
        <w:tc>
          <w:tcPr>
            <w:tcW w:w="11334" w:type="dxa"/>
            <w:tcBorders>
              <w:left w:val="nil"/>
              <w:bottom w:val="nil"/>
              <w:right w:val="nil"/>
            </w:tcBorders>
          </w:tcPr>
          <w:p w:rsidR="0051138C" w:rsidRPr="00ED6748" w:rsidRDefault="00ED6748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66AA3" w:rsidRPr="00ED6748" w:rsidRDefault="00166AA3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AA3" w:rsidRPr="00ED6748" w:rsidRDefault="004C3241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166AA3" w:rsidRPr="00ED6748" w:rsidRDefault="00166AA3" w:rsidP="00FA341C">
            <w:pPr>
              <w:autoSpaceDE w:val="0"/>
              <w:autoSpaceDN w:val="0"/>
              <w:adjustRightInd w:val="0"/>
              <w:spacing w:after="0" w:line="360" w:lineRule="auto"/>
              <w:ind w:left="1134" w:right="1134" w:firstLine="4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74F" w:rsidRPr="007B197B" w:rsidRDefault="00A1474F" w:rsidP="00646435">
      <w:pPr>
        <w:spacing w:before="100" w:beforeAutospacing="1" w:after="100" w:afterAutospacing="1"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</w:p>
    <w:sectPr w:rsidR="00A1474F" w:rsidRPr="007B197B" w:rsidSect="00ED67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30C1"/>
    <w:multiLevelType w:val="hybridMultilevel"/>
    <w:tmpl w:val="D766E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B"/>
    <w:rsid w:val="000B55AF"/>
    <w:rsid w:val="00154699"/>
    <w:rsid w:val="00166AA3"/>
    <w:rsid w:val="00183E94"/>
    <w:rsid w:val="001E6909"/>
    <w:rsid w:val="00230A21"/>
    <w:rsid w:val="003207A0"/>
    <w:rsid w:val="00337C3B"/>
    <w:rsid w:val="003C6ADC"/>
    <w:rsid w:val="004C3241"/>
    <w:rsid w:val="0051138C"/>
    <w:rsid w:val="00583089"/>
    <w:rsid w:val="005B59E1"/>
    <w:rsid w:val="00646435"/>
    <w:rsid w:val="007B197B"/>
    <w:rsid w:val="00821173"/>
    <w:rsid w:val="0082301D"/>
    <w:rsid w:val="0098109E"/>
    <w:rsid w:val="00981A4A"/>
    <w:rsid w:val="00A1474F"/>
    <w:rsid w:val="00A57474"/>
    <w:rsid w:val="00A7778A"/>
    <w:rsid w:val="00AF5BEA"/>
    <w:rsid w:val="00BA2783"/>
    <w:rsid w:val="00CA3AA2"/>
    <w:rsid w:val="00DF0CCD"/>
    <w:rsid w:val="00E05192"/>
    <w:rsid w:val="00E105A2"/>
    <w:rsid w:val="00E5194D"/>
    <w:rsid w:val="00ED6748"/>
    <w:rsid w:val="00FA341C"/>
    <w:rsid w:val="00FC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3A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3A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2E3A-8821-4BCB-BE59-6422A52C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Слава</cp:lastModifiedBy>
  <cp:revision>26</cp:revision>
  <dcterms:created xsi:type="dcterms:W3CDTF">2014-12-07T07:20:00Z</dcterms:created>
  <dcterms:modified xsi:type="dcterms:W3CDTF">2015-12-08T17:52:00Z</dcterms:modified>
</cp:coreProperties>
</file>