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E3" w:rsidRDefault="006E39E3" w:rsidP="006E39E3">
      <w:pPr>
        <w:spacing w:after="0" w:line="240" w:lineRule="auto"/>
        <w:jc w:val="center"/>
        <w:rPr>
          <w:rFonts w:ascii="Times New Roman" w:hAnsi="Times New Roman" w:cs="Times New Roman"/>
          <w:color w:val="003E00"/>
          <w:sz w:val="28"/>
          <w:szCs w:val="28"/>
        </w:rPr>
      </w:pPr>
      <w:r>
        <w:rPr>
          <w:rFonts w:ascii="Times New Roman" w:hAnsi="Times New Roman" w:cs="Times New Roman"/>
          <w:color w:val="003E00"/>
          <w:sz w:val="28"/>
          <w:szCs w:val="28"/>
        </w:rPr>
        <w:t xml:space="preserve">Муниципальное дошкольное образовательное учреждение </w:t>
      </w:r>
    </w:p>
    <w:p w:rsidR="006E39E3" w:rsidRDefault="006E39E3" w:rsidP="006E39E3">
      <w:pPr>
        <w:spacing w:after="0" w:line="240" w:lineRule="auto"/>
        <w:jc w:val="center"/>
        <w:rPr>
          <w:rFonts w:ascii="Times New Roman" w:hAnsi="Times New Roman" w:cs="Times New Roman"/>
          <w:color w:val="003E00"/>
          <w:sz w:val="28"/>
          <w:szCs w:val="28"/>
        </w:rPr>
      </w:pPr>
      <w:r>
        <w:rPr>
          <w:rFonts w:ascii="Times New Roman" w:hAnsi="Times New Roman" w:cs="Times New Roman"/>
          <w:color w:val="003E00"/>
          <w:sz w:val="28"/>
          <w:szCs w:val="28"/>
        </w:rPr>
        <w:tab/>
        <w:t xml:space="preserve">детский сад компенсирующего вида № 46 «Кот в сапогах» </w:t>
      </w:r>
    </w:p>
    <w:p w:rsidR="006E39E3" w:rsidRDefault="006E39E3" w:rsidP="006E39E3">
      <w:pPr>
        <w:spacing w:after="0" w:line="240" w:lineRule="auto"/>
        <w:jc w:val="center"/>
        <w:rPr>
          <w:rFonts w:ascii="Times New Roman" w:hAnsi="Times New Roman" w:cs="Times New Roman"/>
          <w:color w:val="003E00"/>
          <w:sz w:val="28"/>
          <w:szCs w:val="28"/>
        </w:rPr>
      </w:pPr>
      <w:r>
        <w:rPr>
          <w:rFonts w:ascii="Times New Roman" w:hAnsi="Times New Roman" w:cs="Times New Roman"/>
          <w:color w:val="003E00"/>
          <w:sz w:val="28"/>
          <w:szCs w:val="28"/>
        </w:rPr>
        <w:tab/>
        <w:t>для детей с тяжелыми нарушениями речи</w:t>
      </w:r>
    </w:p>
    <w:p w:rsidR="006E39E3" w:rsidRDefault="006E39E3" w:rsidP="006E39E3">
      <w:pPr>
        <w:jc w:val="center"/>
        <w:rPr>
          <w:rFonts w:ascii="Times New Roman" w:hAnsi="Times New Roman" w:cs="Times New Roman"/>
          <w:color w:val="003E00"/>
          <w:sz w:val="28"/>
          <w:szCs w:val="28"/>
        </w:rPr>
      </w:pPr>
    </w:p>
    <w:p w:rsidR="006E39E3" w:rsidRDefault="006E39E3" w:rsidP="006E39E3">
      <w:pPr>
        <w:jc w:val="center"/>
        <w:rPr>
          <w:rFonts w:ascii="Times New Roman" w:hAnsi="Times New Roman" w:cs="Times New Roman"/>
          <w:color w:val="003E00"/>
          <w:sz w:val="28"/>
          <w:szCs w:val="28"/>
        </w:rPr>
      </w:pPr>
    </w:p>
    <w:p w:rsidR="006E39E3" w:rsidRDefault="006E39E3" w:rsidP="006E39E3">
      <w:pPr>
        <w:rPr>
          <w:rFonts w:ascii="Times New Roman" w:hAnsi="Times New Roman" w:cs="Times New Roman"/>
          <w:color w:val="003E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-1287780</wp:posOffset>
            </wp:positionV>
            <wp:extent cx="1491615" cy="17303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73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39E3" w:rsidRDefault="006E39E3" w:rsidP="006E39E3">
      <w:pPr>
        <w:jc w:val="center"/>
        <w:rPr>
          <w:rFonts w:ascii="Times New Roman" w:hAnsi="Times New Roman" w:cs="Times New Roman"/>
          <w:b/>
          <w:bCs/>
          <w:color w:val="003E00"/>
          <w:sz w:val="40"/>
          <w:szCs w:val="40"/>
        </w:rPr>
      </w:pPr>
    </w:p>
    <w:p w:rsidR="006E39E3" w:rsidRDefault="006E39E3" w:rsidP="006E39E3">
      <w:pPr>
        <w:jc w:val="center"/>
        <w:rPr>
          <w:rFonts w:ascii="Times New Roman" w:hAnsi="Times New Roman" w:cs="Times New Roman"/>
          <w:b/>
          <w:bCs/>
          <w:color w:val="003E00"/>
          <w:sz w:val="40"/>
          <w:szCs w:val="40"/>
        </w:rPr>
      </w:pPr>
    </w:p>
    <w:p w:rsidR="006E39E3" w:rsidRDefault="006E39E3" w:rsidP="006E39E3">
      <w:pPr>
        <w:jc w:val="center"/>
        <w:rPr>
          <w:rFonts w:ascii="Times New Roman" w:hAnsi="Times New Roman" w:cs="Times New Roman"/>
          <w:b/>
          <w:bCs/>
          <w:color w:val="003E00"/>
          <w:sz w:val="40"/>
          <w:szCs w:val="40"/>
        </w:rPr>
      </w:pPr>
    </w:p>
    <w:p w:rsidR="006E39E3" w:rsidRDefault="006E39E3" w:rsidP="006E39E3">
      <w:pPr>
        <w:jc w:val="center"/>
        <w:rPr>
          <w:rFonts w:ascii="Times New Roman" w:hAnsi="Times New Roman" w:cs="Times New Roman"/>
          <w:b/>
          <w:bCs/>
          <w:color w:val="003E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3E00"/>
          <w:sz w:val="40"/>
          <w:szCs w:val="40"/>
        </w:rPr>
        <w:t>ПЛАН ДЕЙСТВИЙ ПЕДАГОГА ПО РЕАЛИЗАЦИИ</w:t>
      </w:r>
    </w:p>
    <w:p w:rsidR="006E39E3" w:rsidRDefault="006E39E3" w:rsidP="006E39E3">
      <w:pPr>
        <w:jc w:val="center"/>
        <w:rPr>
          <w:rFonts w:ascii="Times New Roman" w:hAnsi="Times New Roman" w:cs="Times New Roman"/>
          <w:color w:val="003E00"/>
          <w:sz w:val="40"/>
          <w:szCs w:val="40"/>
        </w:rPr>
      </w:pPr>
      <w:r>
        <w:rPr>
          <w:rFonts w:ascii="Times New Roman" w:hAnsi="Times New Roman" w:cs="Times New Roman"/>
          <w:color w:val="003E00"/>
          <w:sz w:val="40"/>
          <w:szCs w:val="40"/>
        </w:rPr>
        <w:t>«</w:t>
      </w:r>
      <w:r>
        <w:rPr>
          <w:rFonts w:ascii="Times New Roman" w:hAnsi="Times New Roman" w:cs="Times New Roman"/>
          <w:b/>
          <w:color w:val="003E00"/>
          <w:sz w:val="40"/>
          <w:szCs w:val="40"/>
        </w:rPr>
        <w:t>Программы развития МДОУ ДСКВ № 46 «Кот в сапогах</w:t>
      </w:r>
      <w:r>
        <w:rPr>
          <w:rFonts w:ascii="Times New Roman" w:hAnsi="Times New Roman" w:cs="Times New Roman"/>
          <w:color w:val="003E00"/>
          <w:sz w:val="40"/>
          <w:szCs w:val="40"/>
        </w:rPr>
        <w:t>»</w:t>
      </w:r>
    </w:p>
    <w:p w:rsidR="006E39E3" w:rsidRDefault="006E39E3" w:rsidP="006E39E3">
      <w:pPr>
        <w:rPr>
          <w:rFonts w:ascii="Times New Roman" w:hAnsi="Times New Roman" w:cs="Times New Roman"/>
          <w:color w:val="003E00"/>
          <w:sz w:val="36"/>
          <w:szCs w:val="36"/>
        </w:rPr>
      </w:pPr>
    </w:p>
    <w:p w:rsidR="006E39E3" w:rsidRDefault="006E39E3" w:rsidP="006E39E3">
      <w:pPr>
        <w:rPr>
          <w:rFonts w:ascii="Times New Roman" w:hAnsi="Times New Roman" w:cs="Times New Roman"/>
          <w:color w:val="003E00"/>
          <w:sz w:val="36"/>
          <w:szCs w:val="36"/>
        </w:rPr>
      </w:pPr>
    </w:p>
    <w:p w:rsidR="006E39E3" w:rsidRDefault="006E39E3" w:rsidP="006E39E3">
      <w:pPr>
        <w:jc w:val="right"/>
        <w:rPr>
          <w:rFonts w:ascii="Times New Roman" w:hAnsi="Times New Roman" w:cs="Times New Roman"/>
          <w:color w:val="003E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3E00"/>
          <w:sz w:val="36"/>
          <w:szCs w:val="36"/>
        </w:rPr>
        <w:tab/>
      </w:r>
      <w:r>
        <w:rPr>
          <w:rFonts w:ascii="Times New Roman" w:hAnsi="Times New Roman" w:cs="Times New Roman"/>
          <w:color w:val="003E00"/>
          <w:sz w:val="36"/>
          <w:szCs w:val="36"/>
        </w:rPr>
        <w:tab/>
      </w:r>
      <w:r>
        <w:rPr>
          <w:rFonts w:ascii="Times New Roman" w:hAnsi="Times New Roman" w:cs="Times New Roman"/>
          <w:color w:val="003E00"/>
          <w:sz w:val="36"/>
          <w:szCs w:val="36"/>
        </w:rPr>
        <w:tab/>
      </w:r>
      <w:r>
        <w:rPr>
          <w:rFonts w:ascii="Times New Roman" w:hAnsi="Times New Roman" w:cs="Times New Roman"/>
          <w:color w:val="003E00"/>
          <w:sz w:val="36"/>
          <w:szCs w:val="36"/>
        </w:rPr>
        <w:tab/>
      </w:r>
      <w:r>
        <w:rPr>
          <w:rFonts w:ascii="Times New Roman" w:hAnsi="Times New Roman" w:cs="Times New Roman"/>
          <w:color w:val="003E00"/>
          <w:sz w:val="36"/>
          <w:szCs w:val="36"/>
        </w:rPr>
        <w:tab/>
      </w:r>
      <w:r>
        <w:rPr>
          <w:rFonts w:ascii="Times New Roman" w:hAnsi="Times New Roman" w:cs="Times New Roman"/>
          <w:color w:val="003E00"/>
          <w:sz w:val="36"/>
          <w:szCs w:val="36"/>
        </w:rPr>
        <w:tab/>
      </w:r>
      <w:r>
        <w:rPr>
          <w:rFonts w:ascii="Times New Roman" w:hAnsi="Times New Roman" w:cs="Times New Roman"/>
          <w:color w:val="003E00"/>
          <w:sz w:val="36"/>
          <w:szCs w:val="36"/>
        </w:rPr>
        <w:tab/>
      </w:r>
      <w:r>
        <w:rPr>
          <w:rFonts w:ascii="Times New Roman" w:hAnsi="Times New Roman" w:cs="Times New Roman"/>
          <w:color w:val="003E00"/>
          <w:sz w:val="36"/>
          <w:szCs w:val="36"/>
        </w:rPr>
        <w:tab/>
      </w:r>
      <w:r>
        <w:rPr>
          <w:rFonts w:ascii="Times New Roman" w:hAnsi="Times New Roman" w:cs="Times New Roman"/>
          <w:color w:val="003E00"/>
          <w:sz w:val="36"/>
          <w:szCs w:val="36"/>
        </w:rPr>
        <w:tab/>
      </w:r>
      <w:r>
        <w:rPr>
          <w:rFonts w:ascii="Times New Roman" w:hAnsi="Times New Roman" w:cs="Times New Roman"/>
          <w:color w:val="003E00"/>
          <w:sz w:val="36"/>
          <w:szCs w:val="36"/>
        </w:rPr>
        <w:tab/>
        <w:t xml:space="preserve">Ф.И.О.             </w:t>
      </w:r>
      <w:proofErr w:type="spellStart"/>
      <w:r>
        <w:rPr>
          <w:rFonts w:ascii="Times New Roman" w:hAnsi="Times New Roman" w:cs="Times New Roman"/>
          <w:color w:val="003E00"/>
          <w:sz w:val="36"/>
          <w:szCs w:val="36"/>
          <w:u w:val="single"/>
        </w:rPr>
        <w:t>Ишметова</w:t>
      </w:r>
      <w:proofErr w:type="spellEnd"/>
      <w:r>
        <w:rPr>
          <w:rFonts w:ascii="Times New Roman" w:hAnsi="Times New Roman" w:cs="Times New Roman"/>
          <w:color w:val="003E00"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3E00"/>
          <w:sz w:val="36"/>
          <w:szCs w:val="36"/>
          <w:u w:val="single"/>
        </w:rPr>
        <w:t>Валия</w:t>
      </w:r>
      <w:proofErr w:type="spellEnd"/>
      <w:r>
        <w:rPr>
          <w:rFonts w:ascii="Times New Roman" w:hAnsi="Times New Roman" w:cs="Times New Roman"/>
          <w:color w:val="003E00"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3E00"/>
          <w:sz w:val="36"/>
          <w:szCs w:val="36"/>
          <w:u w:val="single"/>
        </w:rPr>
        <w:t>Мирхафизяновна</w:t>
      </w:r>
      <w:proofErr w:type="spellEnd"/>
    </w:p>
    <w:p w:rsidR="006E39E3" w:rsidRDefault="006E39E3" w:rsidP="006E39E3">
      <w:pPr>
        <w:jc w:val="right"/>
        <w:rPr>
          <w:rFonts w:ascii="Times New Roman" w:hAnsi="Times New Roman" w:cs="Times New Roman"/>
          <w:color w:val="003E00"/>
          <w:sz w:val="40"/>
          <w:szCs w:val="40"/>
        </w:rPr>
      </w:pPr>
      <w:r>
        <w:rPr>
          <w:rFonts w:ascii="Times New Roman" w:hAnsi="Times New Roman" w:cs="Times New Roman"/>
          <w:color w:val="003E00"/>
          <w:sz w:val="40"/>
          <w:szCs w:val="40"/>
        </w:rPr>
        <w:t xml:space="preserve">Должность    </w:t>
      </w:r>
      <w:r>
        <w:rPr>
          <w:rFonts w:ascii="Times New Roman" w:hAnsi="Times New Roman" w:cs="Times New Roman"/>
          <w:color w:val="003E00"/>
          <w:sz w:val="40"/>
          <w:szCs w:val="40"/>
          <w:u w:val="single"/>
        </w:rPr>
        <w:t>учитель-логопед</w:t>
      </w:r>
    </w:p>
    <w:p w:rsidR="006E39E3" w:rsidRDefault="006E39E3" w:rsidP="006E39E3">
      <w:pPr>
        <w:rPr>
          <w:rFonts w:ascii="Times New Roman" w:hAnsi="Times New Roman" w:cs="Times New Roman"/>
          <w:color w:val="003E00"/>
          <w:sz w:val="40"/>
          <w:szCs w:val="40"/>
        </w:rPr>
      </w:pPr>
      <w:r>
        <w:rPr>
          <w:rFonts w:ascii="Times New Roman" w:hAnsi="Times New Roman" w:cs="Times New Roman"/>
          <w:color w:val="003E00"/>
          <w:sz w:val="40"/>
          <w:szCs w:val="40"/>
        </w:rPr>
        <w:t xml:space="preserve">                                                   </w:t>
      </w:r>
    </w:p>
    <w:p w:rsidR="006E39E3" w:rsidRDefault="006E39E3" w:rsidP="006E39E3">
      <w:pPr>
        <w:rPr>
          <w:rFonts w:ascii="Times New Roman" w:hAnsi="Times New Roman" w:cs="Times New Roman"/>
          <w:color w:val="003E00"/>
          <w:sz w:val="28"/>
          <w:szCs w:val="28"/>
        </w:rPr>
      </w:pPr>
      <w:r>
        <w:rPr>
          <w:rFonts w:ascii="Times New Roman" w:hAnsi="Times New Roman" w:cs="Times New Roman"/>
          <w:color w:val="003E00"/>
          <w:sz w:val="40"/>
          <w:szCs w:val="4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3E00"/>
          <w:sz w:val="28"/>
          <w:szCs w:val="28"/>
        </w:rPr>
        <w:t>г. Нижневартовск, 2015г.</w:t>
      </w:r>
    </w:p>
    <w:p w:rsidR="006E39E3" w:rsidRDefault="006E39E3" w:rsidP="006E39E3">
      <w:pPr>
        <w:rPr>
          <w:rFonts w:ascii="Times New Roman" w:hAnsi="Times New Roman" w:cs="Times New Roman"/>
          <w:color w:val="003E00"/>
          <w:sz w:val="28"/>
          <w:szCs w:val="28"/>
        </w:rPr>
      </w:pPr>
    </w:p>
    <w:p w:rsidR="006E39E3" w:rsidRDefault="006E39E3" w:rsidP="006E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обеспечение оптимальных условий для развития ДОУ и повышения эффективности образовательной деятельности в соответствии с требованиями современной образовательной политики, социально-экономическим развитием города Нижневартовска и потребностями личности.  </w:t>
      </w:r>
    </w:p>
    <w:p w:rsidR="006E39E3" w:rsidRDefault="006E39E3" w:rsidP="006E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39E3" w:rsidRDefault="006E39E3" w:rsidP="006E39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высокое качество дошкольного коррекционного образования путем совершенствования здоровьесберегающих, безопасных и комфортных условий пребывания детей в ДОУ;</w:t>
      </w:r>
    </w:p>
    <w:p w:rsidR="006E39E3" w:rsidRDefault="006E39E3" w:rsidP="006E39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обучающихся, через формирование потребности в здоровом образе жизни у всех участников образовательного процесса;</w:t>
      </w:r>
    </w:p>
    <w:p w:rsidR="006E39E3" w:rsidRDefault="006E39E3" w:rsidP="006E39E3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расширить</w:t>
      </w:r>
      <w:r>
        <w:rPr>
          <w:sz w:val="28"/>
          <w:szCs w:val="28"/>
        </w:rPr>
        <w:t xml:space="preserve"> спектр предоставляемых дополнительных образовательных услуг через создание кружков и секций спортивно-оздоровительной направленности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E39E3" w:rsidRDefault="006E39E3" w:rsidP="006E39E3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совершенствовать</w:t>
      </w:r>
      <w:r>
        <w:rPr>
          <w:sz w:val="28"/>
          <w:szCs w:val="28"/>
        </w:rPr>
        <w:t xml:space="preserve"> условия, обеспечивающие эффективность сотрудничества всех участников образовательного процесса,</w:t>
      </w:r>
      <w:r>
        <w:rPr>
          <w:bCs/>
          <w:sz w:val="28"/>
          <w:szCs w:val="28"/>
        </w:rPr>
        <w:t xml:space="preserve"> поддержку инновационной деятельности в и развитие  кадрового потенциала;</w:t>
      </w:r>
    </w:p>
    <w:p w:rsidR="006E39E3" w:rsidRDefault="006E39E3" w:rsidP="006E39E3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развитию потенциала педагогов через саморазвитие и самообразование на протяжении всей профессиональной деятельности для создания ситуации профессионального успеха;</w:t>
      </w:r>
      <w:r>
        <w:rPr>
          <w:b/>
        </w:rPr>
        <w:t xml:space="preserve"> </w:t>
      </w:r>
    </w:p>
    <w:p w:rsidR="006E39E3" w:rsidRDefault="006E39E3" w:rsidP="006E39E3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</w:pPr>
      <w:r>
        <w:rPr>
          <w:b/>
          <w:sz w:val="28"/>
          <w:szCs w:val="28"/>
        </w:rPr>
        <w:t>осуществить</w:t>
      </w:r>
      <w:r>
        <w:rPr>
          <w:sz w:val="28"/>
          <w:szCs w:val="28"/>
        </w:rPr>
        <w:t xml:space="preserve"> поэтапный переход ДОУ к реализации федерального образовательного стандарта дошкольного образования;</w:t>
      </w:r>
    </w:p>
    <w:p w:rsidR="006E39E3" w:rsidRDefault="006E39E3" w:rsidP="006E39E3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ориентировать </w:t>
      </w:r>
      <w:r>
        <w:rPr>
          <w:sz w:val="28"/>
          <w:szCs w:val="28"/>
        </w:rPr>
        <w:t>образование в ДОУ на развитие индивидуальных способностей каждого ребенка, выявление и поддержку детской одаренности и успешности каждого воспитанника.</w:t>
      </w:r>
    </w:p>
    <w:p w:rsidR="006E39E3" w:rsidRDefault="006E39E3" w:rsidP="006E39E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E3" w:rsidRDefault="006E39E3" w:rsidP="006E39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6E39E3" w:rsidRDefault="006E39E3" w:rsidP="006E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– повышение конкурентоспособности учреждения;</w:t>
      </w:r>
    </w:p>
    <w:p w:rsidR="006E39E3" w:rsidRDefault="006E39E3" w:rsidP="006E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полноценного качественного коррекционного образования в соответствии с индивидуальными запросами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возможностями каждого ребенка;</w:t>
      </w:r>
    </w:p>
    <w:p w:rsidR="006E39E3" w:rsidRDefault="006E39E3" w:rsidP="006E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– увеличение интереса к профессии и развитие профессиональной компетентности; </w:t>
      </w:r>
    </w:p>
    <w:p w:rsidR="006E39E3" w:rsidRDefault="006E39E3" w:rsidP="006E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семьи</w:t>
      </w:r>
      <w:r>
        <w:rPr>
          <w:rFonts w:ascii="Times New Roman" w:hAnsi="Times New Roman" w:cs="Times New Roman"/>
          <w:sz w:val="28"/>
          <w:szCs w:val="28"/>
        </w:rPr>
        <w:t xml:space="preserve"> – сохранение здоровья ребенка и успешность ребенка при поступлении в школу;</w:t>
      </w:r>
    </w:p>
    <w:p w:rsidR="006E39E3" w:rsidRDefault="006E39E3" w:rsidP="006E39E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социума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реализация системы социального партнерства.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39E3" w:rsidRDefault="006E39E3" w:rsidP="006E39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Персональные задачи педагога 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192"/>
        <w:gridCol w:w="2294"/>
        <w:gridCol w:w="2426"/>
        <w:gridCol w:w="2835"/>
        <w:gridCol w:w="2835"/>
        <w:gridCol w:w="709"/>
        <w:gridCol w:w="2126"/>
      </w:tblGrid>
      <w:tr w:rsidR="006E39E3" w:rsidTr="006E39E3">
        <w:trPr>
          <w:trHeight w:val="503"/>
        </w:trPr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Индикатор оценки эффективности</w:t>
            </w:r>
          </w:p>
        </w:tc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Показатель эффективности  труда педагога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индикатор на начало реализации Программы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Индикатор результативности за год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6E39E3" w:rsidTr="006E39E3">
        <w:trPr>
          <w:trHeight w:val="815"/>
        </w:trPr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6E39E3" w:rsidTr="006E39E3"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Соответствие деятельности требованиям законодательства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Нарушение законодательства, требований охраны труда, пожарной безопасности  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выявлено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1.2.Обоснованные жалобы со стороны родителей (законных представителей) и работников  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proofErr w:type="gramStart"/>
            <w:r>
              <w:rPr>
                <w:sz w:val="20"/>
                <w:szCs w:val="20"/>
              </w:rPr>
              <w:t>Исполнительская</w:t>
            </w:r>
            <w:proofErr w:type="gramEnd"/>
            <w:r>
              <w:rPr>
                <w:sz w:val="20"/>
                <w:szCs w:val="20"/>
              </w:rPr>
              <w:t xml:space="preserve"> дисциплин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1.4.Оформление и  ведение документации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</w:tr>
      <w:tr w:rsidR="006E39E3" w:rsidTr="006E39E3"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Функционирование системы государственно-общественного управления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2.1.Привлечение дополнительных средств на цели развития образования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привлекались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Представление опыта деятельности государственно-общественного управления образовательной организации на муниципальном, региональном, федеральном уровнях (на основе подтверждающих документов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Участие в деятельности государственно-общественного управления образовательной </w:t>
            </w:r>
            <w:r>
              <w:rPr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</w:tr>
      <w:tr w:rsidR="006E39E3" w:rsidTr="006E39E3"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Информационная открытость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tabs>
                <w:tab w:val="left" w:pos="176"/>
                <w:tab w:val="left" w:pos="963"/>
              </w:tabs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Наличие личного </w:t>
            </w:r>
            <w:proofErr w:type="spellStart"/>
            <w:r>
              <w:rPr>
                <w:sz w:val="20"/>
                <w:szCs w:val="20"/>
              </w:rPr>
              <w:t>блога</w:t>
            </w:r>
            <w:proofErr w:type="spellEnd"/>
            <w:r>
              <w:rPr>
                <w:sz w:val="20"/>
                <w:szCs w:val="20"/>
              </w:rPr>
              <w:t xml:space="preserve"> на официальном сайте образовательного учреждения в соответствии с Правилами размещения в сети Интернет и обновления информации  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http://nsportal.ru/ishmetova-valiya-mirhafizyanovna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 Представила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Планирую представить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Планирую представить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Наличие в  кабинете сменяемой информации для родителей (законных представителей)  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Наличие информации «Особенности речевого развития детей с ТНР»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Пополнила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Пополнить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Пополнить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Участие в открытых мероприятиях различного уровня (ГМО, РМЦ, конференции и др.)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Слушатель ГМО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Посещала  заседания ГМО в статусе докладчика с темой «Использование системы здоровьесберегающих технологий в коррекционном процессе как средство повышения уровня речевого развития» и  слушателя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посетить заседания ГМО в статусе слушателя</w:t>
            </w:r>
            <w:r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посетить заседания ГМО в статусе слушателя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Диссеминация опыта образовательной деятельности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Являлась слушателем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Представила опыт работы: на семинаре по подготовке к педагогическому совету № 4 «Роль компьютерных игр в речевом развитии детей с ТНР»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свой опыт работы по теме «</w:t>
            </w:r>
            <w:r>
              <w:rPr>
                <w:sz w:val="20"/>
                <w:szCs w:val="20"/>
              </w:rPr>
              <w:t xml:space="preserve">Использование системы </w:t>
            </w:r>
            <w:r>
              <w:rPr>
                <w:color w:val="000000"/>
                <w:sz w:val="20"/>
                <w:szCs w:val="20"/>
              </w:rPr>
              <w:t>здоровьесберегающих технологий в коррекционном процессе как средство повышения уровня речевого развития</w:t>
            </w:r>
            <w:r>
              <w:rPr>
                <w:rFonts w:cs="Calibri"/>
                <w:sz w:val="20"/>
                <w:szCs w:val="20"/>
              </w:rPr>
              <w:t>»  в разнообразных формах образовательной работы ДОУ.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свой опыт работы по теме «</w:t>
            </w:r>
            <w:r>
              <w:rPr>
                <w:sz w:val="20"/>
                <w:szCs w:val="20"/>
              </w:rPr>
              <w:t xml:space="preserve">Использование системы </w:t>
            </w:r>
            <w:r>
              <w:rPr>
                <w:color w:val="000000"/>
                <w:sz w:val="20"/>
                <w:szCs w:val="20"/>
              </w:rPr>
              <w:t>здоровьесберегающих технологий в коррекционном процессе как средство повышения уровня речевого развития</w:t>
            </w:r>
            <w:r>
              <w:rPr>
                <w:rFonts w:cs="Calibri"/>
                <w:sz w:val="20"/>
                <w:szCs w:val="20"/>
              </w:rPr>
              <w:t>»  в разнообразных формах образовательной работы ДОУ.</w:t>
            </w:r>
          </w:p>
        </w:tc>
      </w:tr>
      <w:tr w:rsidR="006E39E3" w:rsidTr="006E39E3"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Реализация мероприятий по привлечению и закреплению молодых педагогических работников в образовательном учреждении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Реализация  программы наставничества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отсутствием молодых специалистов наставником не являюсь.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отсутствием молодых специалистов наставником не являюсь.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стать наставником.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стать наставником.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proofErr w:type="gramStart"/>
            <w:r>
              <w:rPr>
                <w:sz w:val="20"/>
                <w:szCs w:val="20"/>
              </w:rPr>
              <w:t xml:space="preserve">Участие молодых педагогических работников в очном этапе конкурсов профессионального мастерства на муниципальном, </w:t>
            </w:r>
            <w:r>
              <w:rPr>
                <w:sz w:val="20"/>
                <w:szCs w:val="20"/>
              </w:rPr>
              <w:lastRenderedPageBreak/>
              <w:t xml:space="preserve">региональном, федеральном уровнях (на основе подтверждающих документов)  </w:t>
            </w:r>
            <w:proofErr w:type="gramEnd"/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В связи с отсутствием молодых педагогических работников в образовательном учреждении участие в подготовке к конкурсам профессионального </w:t>
            </w:r>
            <w:r>
              <w:rPr>
                <w:sz w:val="20"/>
                <w:szCs w:val="20"/>
              </w:rPr>
              <w:lastRenderedPageBreak/>
              <w:t>мастерства на муниципальном, региональном, федеральном уровнях не принимала.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В связи с отсутствием молодых педагогических работников в образовательном учреждении участие в подготовке к конкурсам профессионального </w:t>
            </w:r>
            <w:r>
              <w:rPr>
                <w:sz w:val="20"/>
                <w:szCs w:val="20"/>
              </w:rPr>
              <w:lastRenderedPageBreak/>
              <w:t>мастерства на муниципальном, региональном, федеральном уровнях не принимала.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Планирую оказывать помощь молодым педагогическим работникам в очном этапе конкурсов профессионального мастерства на муниципальном, </w:t>
            </w:r>
            <w:r>
              <w:rPr>
                <w:sz w:val="20"/>
                <w:szCs w:val="20"/>
              </w:rPr>
              <w:lastRenderedPageBreak/>
              <w:t>региональном, федеральном уровнях.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lastRenderedPageBreak/>
              <w:t xml:space="preserve">Планирую оказывать помощь молодым педагогическим работникам в очном этапе конкурсов профессионального мастерства на муниципальном, </w:t>
            </w:r>
            <w:r>
              <w:rPr>
                <w:rFonts w:cs="Calibri"/>
                <w:sz w:val="20"/>
                <w:szCs w:val="20"/>
              </w:rPr>
              <w:lastRenderedPageBreak/>
              <w:t>региональном, федеральном уровнях.</w:t>
            </w:r>
            <w:proofErr w:type="gramEnd"/>
          </w:p>
        </w:tc>
      </w:tr>
      <w:tr w:rsidR="006E39E3" w:rsidTr="006E39E3"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 Развитие кадрового потенциала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Участие педагогических работников в конкурсе профессионального мастерства «Педагог года города», «Педагогический дебют», «Общественное призвание», «Педагогические инициативы»,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 я делаю так!»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Принимала участие в подготовке участника конкурса педагогических работников в конкурсе профессионального мастерства «Педагог года города».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Принимала участие в подготовке участника конкурса педагогических работников в конкурсе профессионального мастерства «Педагог года города».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принимать  участие в подготовке участника конкурса педагогических работников в конкурсе профессионального мастерства «Педагог года города».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принимать  участие в подготовке участника конкурса педагогических работников в конкурсе профессионального мастерства «Педагог года города».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Результативность участия в конкурсе лучших педагогических работников Национальной образовательной инициативы «Наша новая школа». Получение гранта: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принимала.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принимала.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принять участие в конкурсе лучших педагогических работников.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принять участие в конкурсе лучших педагогических работников.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Своевременное прохождение курсов повышения квалификации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«ФГОС ДОУ»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28.05.2014г. г. Ханты-Мансийск, 36 часов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Вебинары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cs="Calibri"/>
                <w:sz w:val="20"/>
                <w:szCs w:val="20"/>
              </w:rPr>
              <w:t>Мерсибо</w:t>
            </w:r>
            <w:proofErr w:type="spellEnd"/>
            <w:r>
              <w:rPr>
                <w:rFonts w:cs="Calibri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прохождение профильных курсов повышения квалификации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прохождение профильных курсов повышения квалификации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 Внедрение инновационных технологий, направленных на развитие интеллектуальных и творческих способностей детей 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Элементы технологии ТРИЗ,  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Капитовская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О.А. «</w:t>
            </w:r>
            <w:proofErr w:type="spellStart"/>
            <w:r>
              <w:rPr>
                <w:rFonts w:cs="Calibri"/>
                <w:sz w:val="20"/>
                <w:szCs w:val="20"/>
              </w:rPr>
              <w:t>ПлохотнюкМ.Г</w:t>
            </w:r>
            <w:proofErr w:type="spellEnd"/>
            <w:r>
              <w:rPr>
                <w:rFonts w:cs="Calibri"/>
                <w:sz w:val="20"/>
                <w:szCs w:val="20"/>
              </w:rPr>
              <w:t>. «Развитие диалогической речи у детей с нарушениями речи»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Внедрение технологии </w:t>
            </w:r>
            <w:proofErr w:type="spellStart"/>
            <w:r>
              <w:rPr>
                <w:rFonts w:cs="Calibri"/>
                <w:sz w:val="20"/>
                <w:szCs w:val="20"/>
              </w:rPr>
              <w:t>Четверушкиной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Н.С. «Формирование слоговой структуры слова»,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Ткаченко Т.Ф. «Развитие фонематического восприятия»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принять участие в разработке и внедрении педагогического проекта  «Оптимизация совместной работы педагогического коллектива с семьей по коррекции звукопроизношения у детей с ТНР»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принять участие во внедрении и корректировке педагогического проекта  «Оптимизация совместной работы педагогического коллектива с семьей по коррекции звукопроизношения у детей с ТНР»</w:t>
            </w:r>
          </w:p>
        </w:tc>
      </w:tr>
      <w:tr w:rsidR="006E39E3" w:rsidTr="006E39E3"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Реализация программ, направленных на работу с одаренными </w:t>
            </w:r>
            <w:r>
              <w:rPr>
                <w:b/>
                <w:sz w:val="20"/>
                <w:szCs w:val="20"/>
              </w:rPr>
              <w:lastRenderedPageBreak/>
              <w:t>воспитанниками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tabs>
                <w:tab w:val="left" w:pos="948"/>
              </w:tabs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6.1.Наличие победителей и </w:t>
            </w:r>
            <w:proofErr w:type="gramStart"/>
            <w:r>
              <w:rPr>
                <w:sz w:val="20"/>
                <w:szCs w:val="20"/>
              </w:rPr>
              <w:t>призеров</w:t>
            </w:r>
            <w:proofErr w:type="gramEnd"/>
            <w:r>
              <w:rPr>
                <w:sz w:val="20"/>
                <w:szCs w:val="20"/>
              </w:rPr>
              <w:t xml:space="preserve">  творческих и интеллектуальных </w:t>
            </w:r>
            <w:r>
              <w:rPr>
                <w:sz w:val="20"/>
                <w:szCs w:val="20"/>
              </w:rPr>
              <w:lastRenderedPageBreak/>
              <w:t xml:space="preserve">конкурсов муниципального, регионального, всероссийского уровней 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Всероссийский конкурс «Веселый </w:t>
            </w:r>
            <w:proofErr w:type="spellStart"/>
            <w:r>
              <w:rPr>
                <w:rFonts w:cs="Calibri"/>
                <w:sz w:val="20"/>
                <w:szCs w:val="20"/>
              </w:rPr>
              <w:t>светофорчик</w:t>
            </w:r>
            <w:proofErr w:type="spellEnd"/>
            <w:r>
              <w:rPr>
                <w:rFonts w:cs="Calibri"/>
                <w:sz w:val="20"/>
                <w:szCs w:val="20"/>
              </w:rPr>
              <w:t>»,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Международный конкурс детских рисунков «В гостях у </w:t>
            </w:r>
            <w:r>
              <w:rPr>
                <w:rFonts w:cs="Calibri"/>
                <w:sz w:val="20"/>
                <w:szCs w:val="20"/>
              </w:rPr>
              <w:lastRenderedPageBreak/>
              <w:t>сказки»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Всеросийский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конкурс «</w:t>
            </w:r>
            <w:proofErr w:type="spellStart"/>
            <w:r>
              <w:rPr>
                <w:rFonts w:cs="Calibri"/>
                <w:sz w:val="20"/>
                <w:szCs w:val="20"/>
              </w:rPr>
              <w:t>Рожденственская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сказка»;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Всеросийская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игра по логике «1,2,4,5 я иду искать»;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Международная познавательная викторина «</w:t>
            </w:r>
            <w:proofErr w:type="spellStart"/>
            <w:r>
              <w:rPr>
                <w:rFonts w:cs="Calibri"/>
                <w:sz w:val="20"/>
                <w:szCs w:val="20"/>
              </w:rPr>
              <w:t>Букава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  Г»;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Всероссийская познавательная викторина по ПДД «</w:t>
            </w:r>
            <w:proofErr w:type="spellStart"/>
            <w:r>
              <w:rPr>
                <w:rFonts w:cs="Calibri"/>
                <w:sz w:val="20"/>
                <w:szCs w:val="20"/>
              </w:rPr>
              <w:t>Дорожняя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азбука»;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Всероссийская познавательная викторина  «К нам весна шагает»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Планирую подготовить и представить детей на конкурсы муниципального, регионального, </w:t>
            </w:r>
            <w:r>
              <w:rPr>
                <w:rFonts w:cs="Calibri"/>
                <w:sz w:val="20"/>
                <w:szCs w:val="20"/>
              </w:rPr>
              <w:lastRenderedPageBreak/>
              <w:t>всероссийского уровней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Планирую подготовить и представить детей на конкурсы муниципального, регионального, </w:t>
            </w:r>
            <w:r>
              <w:rPr>
                <w:rFonts w:cs="Calibri"/>
                <w:sz w:val="20"/>
                <w:szCs w:val="20"/>
              </w:rPr>
              <w:lastRenderedPageBreak/>
              <w:t>всероссийского уровней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Количество детей, принявших участие в творческих мероприятиях: олимпиадах, конкурсах различного уровня (количество детей)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детей принимали участие в конкурсах: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«Веселый </w:t>
            </w:r>
            <w:proofErr w:type="spellStart"/>
            <w:r>
              <w:rPr>
                <w:rFonts w:cs="Calibri"/>
                <w:sz w:val="20"/>
                <w:szCs w:val="20"/>
              </w:rPr>
              <w:t>светофорчик</w:t>
            </w:r>
            <w:proofErr w:type="spellEnd"/>
            <w:r>
              <w:rPr>
                <w:rFonts w:cs="Calibri"/>
                <w:sz w:val="20"/>
                <w:szCs w:val="20"/>
              </w:rPr>
              <w:t>»;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«В гостях у сказки»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детей принимали участие в конкурсах: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«1,2,3,4,5 я иду искать»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«Буква Г»;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«Дорожная азбука»;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«К нам весна шагает»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увеличить количество детей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принявших участие в творческих мероприятиях: олимпиадах, конкурсах различного уровня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увеличить количество детей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принявших участие в творческих мероприятиях: олимпиадах, конкурсах различного уровня</w:t>
            </w:r>
          </w:p>
        </w:tc>
      </w:tr>
      <w:tr w:rsidR="006E39E3" w:rsidTr="006E39E3"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Инициативность, высокое качество деятельности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7.1.Участие в постоянно действующих экспертных комиссиях, рабочих группах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Участие  в тематическом контроле: «Роль сказки в развитии связной речи»;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Работе творческой группе по подготовке проектов  «</w:t>
            </w:r>
            <w:r>
              <w:rPr>
                <w:rFonts w:cs="Calibri"/>
                <w:bCs/>
                <w:sz w:val="20"/>
                <w:szCs w:val="20"/>
              </w:rPr>
              <w:t>Формирование  гуманного отношения</w:t>
            </w:r>
            <w:r>
              <w:rPr>
                <w:rFonts w:cs="Calibri"/>
                <w:bCs/>
                <w:sz w:val="20"/>
                <w:szCs w:val="20"/>
              </w:rPr>
              <w:br/>
              <w:t xml:space="preserve"> к природе через ознакомление с художественной литературой»,  «Развитие коммуникативных навыков детей старших дошкольников через использование инновационной технологии ТРИЗ»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Представила опыт работы: на семинаре по подготовке к педагогическому совету № 4 «Роль компьютерных игр в речевом развитии детей с ТНР».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Участвовала в творческой группе по подготовке к общему родительскому собранию по теме: «Артикуляционная гимнастика» в секции «Мастер-класс для родителей»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продолжить Участие в постоянно действующих экспертных комиссиях, рабочих группах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продолжить Участие в постоянно действующих экспертных комиссиях, рабочих группах.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 Активное участие в жизни коллектива, проявление активной гражданской позиции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Оформление музыкального зала и группы  к тематическим праздникам, выставок. </w:t>
            </w:r>
            <w:r>
              <w:rPr>
                <w:rFonts w:cs="Calibri"/>
                <w:sz w:val="20"/>
                <w:szCs w:val="20"/>
              </w:rPr>
              <w:lastRenderedPageBreak/>
              <w:t>Участие в субботниках. Подготовка к сдаче норм ГТО.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Оформление музыкального зала и группы  к тематическим праздникам, выставок. Участие в </w:t>
            </w:r>
            <w:r>
              <w:rPr>
                <w:rFonts w:cs="Calibri"/>
                <w:sz w:val="20"/>
                <w:szCs w:val="20"/>
              </w:rPr>
              <w:lastRenderedPageBreak/>
              <w:t>субботниках. Подготовка к сдаче норм ГТО.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Планирую принять участие в подготовке информационного стенда «Особенности речевого развития у детей </w:t>
            </w:r>
            <w:r>
              <w:rPr>
                <w:rFonts w:cs="Calibri"/>
                <w:sz w:val="20"/>
                <w:szCs w:val="20"/>
              </w:rPr>
              <w:lastRenderedPageBreak/>
              <w:t>ТНР». Подготовке к сдаче норм ГТО.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Планирую принимать активное участие в жизни </w:t>
            </w:r>
            <w:proofErr w:type="spellStart"/>
            <w:r>
              <w:rPr>
                <w:rFonts w:cs="Calibri"/>
                <w:sz w:val="20"/>
                <w:szCs w:val="20"/>
              </w:rPr>
              <w:t>кллектива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 Участие в работе в </w:t>
            </w:r>
            <w:proofErr w:type="spellStart"/>
            <w:r>
              <w:rPr>
                <w:sz w:val="20"/>
                <w:szCs w:val="20"/>
              </w:rPr>
              <w:t>психолого-медико-педагогическом</w:t>
            </w:r>
            <w:proofErr w:type="spellEnd"/>
            <w:r>
              <w:rPr>
                <w:sz w:val="20"/>
                <w:szCs w:val="20"/>
              </w:rPr>
              <w:t xml:space="preserve"> консилиуме ДОУ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Постоянно провожу обследование и подготовку детей у ПМПК.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6E39E3" w:rsidTr="006E39E3"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Сохранение и укрепление здоровья воспитанников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Эффективность выполнения мероприятий по реализации программы «Здоровье», эффективность применения в образовательном процессе здоровьесберегающих технологий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Индекс здоровья группы № 7   -    36,2%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Планирую содействовать повышению уровню индекса здоровья </w:t>
            </w:r>
            <w:proofErr w:type="gramStart"/>
            <w:r>
              <w:rPr>
                <w:rFonts w:cs="Calibri"/>
                <w:sz w:val="20"/>
                <w:szCs w:val="20"/>
              </w:rPr>
              <w:t>на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Планирую содействовать повышению уровню индекса здоровья </w:t>
            </w:r>
            <w:proofErr w:type="gramStart"/>
            <w:r>
              <w:rPr>
                <w:rFonts w:cs="Calibri"/>
                <w:sz w:val="20"/>
                <w:szCs w:val="20"/>
              </w:rPr>
              <w:t>на</w:t>
            </w:r>
            <w:proofErr w:type="gramEnd"/>
            <w:r>
              <w:rPr>
                <w:rFonts w:cs="Calibri"/>
                <w:sz w:val="20"/>
                <w:szCs w:val="20"/>
              </w:rPr>
              <w:t>……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Соблюдение требований санитарно-гигиенического и противоэпидемического режима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постоянно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постоянно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постоянно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8.3.Производственный и детский травматизм (по вине работника) 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 Количество дней пропущенных по болезни на 1 воспитанника за год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6E39E3" w:rsidTr="006E39E3">
        <w:trPr>
          <w:trHeight w:val="679"/>
        </w:trPr>
        <w:tc>
          <w:tcPr>
            <w:tcW w:w="21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 Количество заболеваний детей за год в расчете на 1 дошкольника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6E39E3" w:rsidTr="006E39E3">
        <w:trPr>
          <w:trHeight w:val="44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6E39E3" w:rsidTr="006E39E3"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Эффективность функционирования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 Доля воспитанников, пользующихся платными дополнительными образовательными услугами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Средний показатель по ДОУ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Повышение доли воспитанников пользующимися платными дополнительными услугами </w:t>
            </w:r>
            <w:proofErr w:type="gramStart"/>
            <w:r>
              <w:rPr>
                <w:rFonts w:cs="Calibri"/>
                <w:sz w:val="20"/>
                <w:szCs w:val="20"/>
              </w:rPr>
              <w:t>на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Повышение доли воспитанников пользующимися платными дополнительными услугами </w:t>
            </w:r>
            <w:proofErr w:type="gramStart"/>
            <w:r>
              <w:rPr>
                <w:rFonts w:cs="Calibri"/>
                <w:sz w:val="20"/>
                <w:szCs w:val="20"/>
              </w:rPr>
              <w:t>на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%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 . Посещаемость </w:t>
            </w:r>
            <w:r>
              <w:rPr>
                <w:sz w:val="20"/>
                <w:szCs w:val="20"/>
              </w:rPr>
              <w:lastRenderedPageBreak/>
              <w:t>воспитанниками  дошкольного образовательного учреждения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Повышение  процента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посещаемости </w:t>
            </w:r>
            <w:proofErr w:type="gramStart"/>
            <w:r>
              <w:rPr>
                <w:rFonts w:cs="Calibri"/>
                <w:sz w:val="20"/>
                <w:szCs w:val="20"/>
              </w:rPr>
              <w:t>на</w:t>
            </w:r>
            <w:proofErr w:type="gramEnd"/>
            <w:r>
              <w:rPr>
                <w:rFonts w:cs="Calibri"/>
                <w:sz w:val="20"/>
                <w:szCs w:val="20"/>
              </w:rPr>
              <w:t>…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Повышение  процента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посещаемости </w:t>
            </w:r>
            <w:proofErr w:type="gramStart"/>
            <w:r>
              <w:rPr>
                <w:rFonts w:cs="Calibri"/>
                <w:sz w:val="20"/>
                <w:szCs w:val="20"/>
              </w:rPr>
              <w:t>на</w:t>
            </w:r>
            <w:proofErr w:type="gramEnd"/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 Доля воспитанников, занимающихся в кружках и секциях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Создание развивающей предметно-пространственной среды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Создана предметно-развивающая среда пространственной среды в соответствии с федеральным государственным образовательным стандартом.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Создана предметно-развивающая среда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пространственной среды в соответствии с федеральным государственным образовательным стандартом дошкольного образования,  утвержденная  приказом №75 от 26.05.2014г.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пополнение и систематизацию среды в соответствие с модульным стандартом при наличии бюджетного финансирования.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Планирую пополнение и систематизацию среды в соответствие с модульным стандартом  при наличии бюджетного финансирования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 Уровень психологической  комфортности в детском коллективе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 Удовлетворенность родителей  деятельностью педагогов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  Уровень мотивационной готовности родителей к сотрудничеству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6E39E3" w:rsidTr="006E39E3"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Повышение качества образования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 Доля детей, освоивших образовательную программу дошкольного образования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Высокий уровень-0%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Средний уровень-48%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Низкий уровень-52%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Высокий уровень-0%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Средний уровень-68,5%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Низкий уровень-31,5%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Высокий уровень-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Средний уровень-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Низкий уровень-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Высокий уровень-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Средний уровень-</w:t>
            </w: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Низкий уровень-</w:t>
            </w:r>
          </w:p>
        </w:tc>
      </w:tr>
      <w:tr w:rsidR="006E39E3" w:rsidTr="006E39E3"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39E3" w:rsidRDefault="006E3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 Уровень готовности выпускников к школе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9E3" w:rsidRDefault="006E39E3">
            <w:pPr>
              <w:pStyle w:val="msonormalbullet2gif"/>
              <w:spacing w:after="0" w:afterAutospacing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6E39E3" w:rsidRDefault="006E39E3" w:rsidP="006E39E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E39E3" w:rsidRDefault="006E39E3" w:rsidP="006E39E3">
      <w:pPr>
        <w:pStyle w:val="msonormalbullet2gif"/>
        <w:spacing w:after="0" w:afterAutospacing="0"/>
        <w:contextualSpacing/>
        <w:jc w:val="center"/>
        <w:rPr>
          <w:b/>
        </w:rPr>
      </w:pPr>
    </w:p>
    <w:p w:rsidR="006E39E3" w:rsidRDefault="006E39E3" w:rsidP="006E39E3">
      <w:pPr>
        <w:pStyle w:val="msonormalbullet2gif"/>
        <w:spacing w:after="0" w:afterAutospacing="0"/>
        <w:contextualSpacing/>
      </w:pPr>
      <w:r>
        <w:rPr>
          <w:b/>
        </w:rPr>
        <w:t xml:space="preserve"> </w:t>
      </w:r>
    </w:p>
    <w:p w:rsidR="00034F3C" w:rsidRDefault="00034F3C"/>
    <w:sectPr w:rsidR="00034F3C" w:rsidSect="006E39E3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53B6B"/>
    <w:multiLevelType w:val="hybridMultilevel"/>
    <w:tmpl w:val="4EEC07BA"/>
    <w:lvl w:ilvl="0" w:tplc="C818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9E3"/>
    <w:rsid w:val="00034F3C"/>
    <w:rsid w:val="006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E39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2095</Words>
  <Characters>11946</Characters>
  <Application>Microsoft Office Word</Application>
  <DocSecurity>0</DocSecurity>
  <Lines>99</Lines>
  <Paragraphs>28</Paragraphs>
  <ScaleCrop>false</ScaleCrop>
  <Company/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2015-09-03T13:34:00Z</dcterms:created>
  <dcterms:modified xsi:type="dcterms:W3CDTF">2015-09-03T13:35:00Z</dcterms:modified>
</cp:coreProperties>
</file>