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04" w:rsidRPr="005606A8" w:rsidRDefault="00C27E04" w:rsidP="00C27E04">
      <w:pPr>
        <w:ind w:firstLine="454"/>
        <w:jc w:val="both"/>
      </w:pPr>
      <w:r w:rsidRPr="005606A8">
        <w:t xml:space="preserve">Система оценки предметных результатов освоения учебных программ с учётом уровневого подхода, принятого в Стандарте, предполагает </w:t>
      </w:r>
      <w:r w:rsidRPr="005606A8">
        <w:rPr>
          <w:b/>
        </w:rPr>
        <w:t>выделение</w:t>
      </w:r>
      <w:r w:rsidRPr="005606A8">
        <w:t xml:space="preserve"> </w:t>
      </w:r>
      <w:r w:rsidRPr="005606A8">
        <w:rPr>
          <w:b/>
        </w:rPr>
        <w:t>базового уровня достижений как точки отсчёта</w:t>
      </w:r>
      <w:r w:rsidRPr="005606A8">
        <w:t xml:space="preserve"> при построении всей системы оценки и организации индивидуальной работы </w:t>
      </w:r>
      <w:proofErr w:type="gramStart"/>
      <w:r w:rsidRPr="005606A8">
        <w:t>с</w:t>
      </w:r>
      <w:proofErr w:type="gramEnd"/>
      <w:r w:rsidRPr="005606A8">
        <w:t xml:space="preserve"> обучающимися.</w:t>
      </w:r>
    </w:p>
    <w:tbl>
      <w:tblPr>
        <w:tblW w:w="10598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977"/>
        <w:gridCol w:w="1134"/>
        <w:gridCol w:w="4961"/>
      </w:tblGrid>
      <w:tr w:rsidR="00C27E04" w:rsidRPr="005606A8" w:rsidTr="00C27E04">
        <w:trPr>
          <w:trHeight w:val="497"/>
        </w:trPr>
        <w:tc>
          <w:tcPr>
            <w:tcW w:w="1526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606A8">
              <w:rPr>
                <w:rFonts w:eastAsia="TimesNewRomanPS-BoldMT"/>
                <w:b/>
                <w:bCs/>
              </w:rPr>
              <w:t>Уровень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606A8">
              <w:rPr>
                <w:rFonts w:eastAsia="TimesNewRomanPS-BoldMT"/>
                <w:b/>
                <w:bCs/>
              </w:rPr>
              <w:t xml:space="preserve">достижения </w:t>
            </w:r>
          </w:p>
        </w:tc>
        <w:tc>
          <w:tcPr>
            <w:tcW w:w="2977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606A8">
              <w:rPr>
                <w:rFonts w:eastAsia="TimesNewRomanPS-BoldMT"/>
                <w:b/>
                <w:bCs/>
              </w:rPr>
              <w:t>Оценка</w:t>
            </w:r>
          </w:p>
          <w:p w:rsidR="00C27E04" w:rsidRPr="005606A8" w:rsidRDefault="00C27E04" w:rsidP="00426A98">
            <w:pPr>
              <w:jc w:val="both"/>
              <w:outlineLvl w:val="0"/>
              <w:rPr>
                <w:b/>
              </w:rPr>
            </w:pPr>
            <w:r w:rsidRPr="005606A8">
              <w:rPr>
                <w:rFonts w:eastAsia="TimesNewRomanPS-BoldMT"/>
                <w:b/>
                <w:bCs/>
              </w:rPr>
              <w:t>(отметка)</w:t>
            </w:r>
          </w:p>
        </w:tc>
        <w:tc>
          <w:tcPr>
            <w:tcW w:w="4961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606A8">
              <w:rPr>
                <w:rFonts w:eastAsia="TimesNewRomanPS-BoldMT"/>
                <w:b/>
                <w:bCs/>
              </w:rPr>
              <w:t>Управленческие</w:t>
            </w:r>
          </w:p>
          <w:p w:rsidR="00C27E04" w:rsidRPr="005606A8" w:rsidRDefault="00C27E04" w:rsidP="00426A98">
            <w:pPr>
              <w:jc w:val="both"/>
              <w:outlineLvl w:val="0"/>
              <w:rPr>
                <w:b/>
              </w:rPr>
            </w:pPr>
            <w:r w:rsidRPr="005606A8">
              <w:rPr>
                <w:rFonts w:eastAsia="TimesNewRomanPS-BoldMT"/>
                <w:b/>
                <w:bCs/>
              </w:rPr>
              <w:t>решения</w:t>
            </w:r>
          </w:p>
        </w:tc>
      </w:tr>
      <w:tr w:rsidR="00C27E04" w:rsidRPr="005606A8" w:rsidTr="00C27E04">
        <w:trPr>
          <w:trHeight w:val="497"/>
        </w:trPr>
        <w:tc>
          <w:tcPr>
            <w:tcW w:w="1526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606A8">
              <w:rPr>
                <w:rFonts w:eastAsia="TimesNewRomanPS-BoldMT"/>
                <w:b/>
                <w:bCs/>
              </w:rPr>
              <w:t>Базовый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606A8">
              <w:rPr>
                <w:rFonts w:eastAsia="TimesNewRomanPS-BoldMT"/>
                <w:b/>
                <w:bCs/>
              </w:rPr>
              <w:t>уровень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2977" w:type="dxa"/>
          </w:tcPr>
          <w:p w:rsidR="00C27E04" w:rsidRPr="00C27E04" w:rsidRDefault="00C27E04" w:rsidP="00426A98">
            <w:pPr>
              <w:autoSpaceDN w:val="0"/>
              <w:adjustRightInd w:val="0"/>
              <w:rPr>
                <w:rFonts w:eastAsia="TimesNewRomanPSMT"/>
                <w:highlight w:val="yellow"/>
              </w:rPr>
            </w:pPr>
            <w:r w:rsidRPr="00C27E04">
              <w:rPr>
                <w:rFonts w:eastAsia="TimesNewRomanPSMT"/>
                <w:highlight w:val="yellow"/>
              </w:rPr>
              <w:t xml:space="preserve">Отметка ставится, если ученик выполнил без ошибок задания базового уровня.  Освоение </w:t>
            </w:r>
            <w:proofErr w:type="gramStart"/>
            <w:r w:rsidRPr="00C27E04">
              <w:rPr>
                <w:rFonts w:eastAsia="TimesNewRomanPSMT"/>
                <w:highlight w:val="yellow"/>
              </w:rPr>
              <w:t>учебных</w:t>
            </w:r>
            <w:proofErr w:type="gramEnd"/>
          </w:p>
          <w:p w:rsidR="00C27E04" w:rsidRPr="00C27E04" w:rsidRDefault="00C27E04" w:rsidP="00426A98">
            <w:pPr>
              <w:autoSpaceDN w:val="0"/>
              <w:adjustRightInd w:val="0"/>
              <w:rPr>
                <w:rFonts w:eastAsia="TimesNewRomanPSMT"/>
                <w:highlight w:val="yellow"/>
              </w:rPr>
            </w:pPr>
            <w:r w:rsidRPr="00C27E04">
              <w:rPr>
                <w:rFonts w:eastAsia="TimesNewRomanPSMT"/>
                <w:highlight w:val="yellow"/>
              </w:rPr>
              <w:t xml:space="preserve">действий с </w:t>
            </w:r>
            <w:proofErr w:type="gramStart"/>
            <w:r w:rsidRPr="00C27E04">
              <w:rPr>
                <w:rFonts w:eastAsia="TimesNewRomanPSMT"/>
                <w:highlight w:val="yellow"/>
              </w:rPr>
              <w:t>опорной</w:t>
            </w:r>
            <w:proofErr w:type="gramEnd"/>
          </w:p>
          <w:p w:rsidR="00C27E04" w:rsidRPr="00C27E04" w:rsidRDefault="00C27E04" w:rsidP="00426A98">
            <w:pPr>
              <w:autoSpaceDN w:val="0"/>
              <w:adjustRightInd w:val="0"/>
              <w:rPr>
                <w:rFonts w:eastAsia="TimesNewRomanPSMT"/>
                <w:highlight w:val="yellow"/>
              </w:rPr>
            </w:pPr>
            <w:r w:rsidRPr="00C27E04">
              <w:rPr>
                <w:rFonts w:eastAsia="TimesNewRomanPSMT"/>
                <w:highlight w:val="yellow"/>
              </w:rPr>
              <w:t xml:space="preserve">системой знаний </w:t>
            </w:r>
            <w:proofErr w:type="gramStart"/>
            <w:r w:rsidRPr="00C27E04">
              <w:rPr>
                <w:rFonts w:eastAsia="TimesNewRomanPSMT"/>
                <w:highlight w:val="yellow"/>
              </w:rPr>
              <w:t>в</w:t>
            </w:r>
            <w:proofErr w:type="gramEnd"/>
          </w:p>
          <w:p w:rsidR="00C27E04" w:rsidRPr="00C27E04" w:rsidRDefault="00C27E04" w:rsidP="00426A98">
            <w:pPr>
              <w:autoSpaceDN w:val="0"/>
              <w:adjustRightInd w:val="0"/>
              <w:rPr>
                <w:rFonts w:eastAsia="TimesNewRomanPSMT"/>
                <w:highlight w:val="yellow"/>
              </w:rPr>
            </w:pPr>
            <w:proofErr w:type="gramStart"/>
            <w:r w:rsidRPr="00C27E04">
              <w:rPr>
                <w:rFonts w:eastAsia="TimesNewRomanPSMT"/>
                <w:highlight w:val="yellow"/>
              </w:rPr>
              <w:t>рамках</w:t>
            </w:r>
            <w:proofErr w:type="gramEnd"/>
            <w:r w:rsidRPr="00C27E04">
              <w:rPr>
                <w:rFonts w:eastAsia="TimesNewRomanPSMT"/>
                <w:highlight w:val="yellow"/>
              </w:rPr>
              <w:t xml:space="preserve"> диапазона</w:t>
            </w:r>
          </w:p>
          <w:p w:rsidR="00C27E04" w:rsidRPr="00C27E04" w:rsidRDefault="00C27E04" w:rsidP="00426A98">
            <w:pPr>
              <w:autoSpaceDN w:val="0"/>
              <w:adjustRightInd w:val="0"/>
              <w:rPr>
                <w:rFonts w:eastAsia="TimesNewRomanPSMT"/>
                <w:highlight w:val="yellow"/>
              </w:rPr>
            </w:pPr>
            <w:r w:rsidRPr="00C27E04">
              <w:rPr>
                <w:rFonts w:eastAsia="TimesNewRomanPSMT"/>
                <w:highlight w:val="yellow"/>
              </w:rPr>
              <w:t>(круга</w:t>
            </w:r>
            <w:r w:rsidRPr="00C27E04">
              <w:rPr>
                <w:rFonts w:eastAsia="TimesNewRomanPS-BoldMT"/>
                <w:highlight w:val="yellow"/>
              </w:rPr>
              <w:t xml:space="preserve">) </w:t>
            </w:r>
            <w:proofErr w:type="gramStart"/>
            <w:r w:rsidRPr="00C27E04">
              <w:rPr>
                <w:rFonts w:eastAsia="TimesNewRomanPSMT"/>
                <w:highlight w:val="yellow"/>
              </w:rPr>
              <w:t>выделенных</w:t>
            </w:r>
            <w:proofErr w:type="gramEnd"/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</w:rPr>
            </w:pPr>
            <w:r w:rsidRPr="00C27E04">
              <w:rPr>
                <w:rFonts w:eastAsia="TimesNewRomanPSMT"/>
                <w:highlight w:val="yellow"/>
              </w:rPr>
              <w:t>задач</w:t>
            </w:r>
            <w:r w:rsidRPr="00C27E04">
              <w:rPr>
                <w:rFonts w:eastAsia="TimesNewRomanPS-BoldMT"/>
                <w:highlight w:val="yellow"/>
              </w:rPr>
              <w:t>.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</w:rPr>
            </w:pPr>
            <w:r w:rsidRPr="005606A8">
              <w:rPr>
                <w:rFonts w:eastAsia="TimesNewRomanPSMT"/>
              </w:rPr>
              <w:t>Удовлетворительно</w:t>
            </w:r>
            <w:r w:rsidRPr="005606A8">
              <w:rPr>
                <w:rFonts w:eastAsia="TimesNewRomanPS-BoldMT"/>
              </w:rPr>
              <w:t>»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</w:rPr>
            </w:pPr>
            <w:r w:rsidRPr="005606A8">
              <w:rPr>
                <w:rFonts w:eastAsia="TimesNewRomanPSMT"/>
              </w:rPr>
              <w:t xml:space="preserve">(отметка </w:t>
            </w:r>
            <w:r w:rsidRPr="005606A8">
              <w:rPr>
                <w:rFonts w:eastAsia="TimesNewRomanPS-BoldMT"/>
              </w:rPr>
              <w:t>«3»)</w:t>
            </w:r>
          </w:p>
        </w:tc>
        <w:tc>
          <w:tcPr>
            <w:tcW w:w="4961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Овладение базовым уровнем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является достаточным для продолжения обучения на</w:t>
            </w:r>
            <w:r>
              <w:rPr>
                <w:rFonts w:eastAsia="TimesNewRomanPSMT"/>
              </w:rPr>
              <w:t xml:space="preserve"> </w:t>
            </w:r>
            <w:r w:rsidRPr="005606A8">
              <w:rPr>
                <w:rFonts w:eastAsia="TimesNewRomanPSMT"/>
              </w:rPr>
              <w:t>следующе</w:t>
            </w:r>
            <w:r>
              <w:rPr>
                <w:rFonts w:eastAsia="TimesNewRomanPSMT"/>
              </w:rPr>
              <w:t>м</w:t>
            </w:r>
            <w:r w:rsidRPr="005606A8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уровне</w:t>
            </w:r>
          </w:p>
          <w:p w:rsidR="00C27E04" w:rsidRPr="005606A8" w:rsidRDefault="00C27E04" w:rsidP="00C27E04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образования</w:t>
            </w:r>
            <w:r>
              <w:rPr>
                <w:rFonts w:eastAsia="TimesNewRomanPSMT"/>
              </w:rPr>
              <w:t>.</w:t>
            </w:r>
          </w:p>
        </w:tc>
      </w:tr>
      <w:tr w:rsidR="00C27E04" w:rsidRPr="005606A8" w:rsidTr="00C27E04">
        <w:trPr>
          <w:trHeight w:val="3251"/>
        </w:trPr>
        <w:tc>
          <w:tcPr>
            <w:tcW w:w="1526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606A8">
              <w:rPr>
                <w:rFonts w:eastAsia="TimesNewRomanPS-BoldMT"/>
                <w:b/>
                <w:bCs/>
              </w:rPr>
              <w:t>Повышенный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606A8">
              <w:rPr>
                <w:rFonts w:eastAsia="TimesNewRomanPS-BoldMT"/>
                <w:b/>
                <w:bCs/>
              </w:rPr>
              <w:t>уровень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2977" w:type="dxa"/>
          </w:tcPr>
          <w:p w:rsidR="00C27E04" w:rsidRPr="00C27E04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  <w:highlight w:val="yellow"/>
              </w:rPr>
            </w:pPr>
            <w:r w:rsidRPr="00C27E04">
              <w:rPr>
                <w:rFonts w:eastAsia="TimesNewRomanPSMT"/>
                <w:highlight w:val="yellow"/>
              </w:rPr>
              <w:t xml:space="preserve">Отметка ставится, если ученик дополнительно  выполнил без ошибок задания повышенного уровня </w:t>
            </w:r>
          </w:p>
          <w:p w:rsidR="00C27E04" w:rsidRPr="00C27E04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  <w:highlight w:val="yellow"/>
              </w:rPr>
            </w:pPr>
            <w:r w:rsidRPr="00C27E04">
              <w:rPr>
                <w:rFonts w:eastAsia="TimesNewRomanPSMT"/>
                <w:highlight w:val="yellow"/>
              </w:rPr>
              <w:t>Усвоение опорной системы знаний на уровне произвольного овладения</w:t>
            </w:r>
          </w:p>
          <w:p w:rsidR="00C27E04" w:rsidRPr="00C27E04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  <w:highlight w:val="yellow"/>
              </w:rPr>
            </w:pPr>
            <w:r w:rsidRPr="00C27E04">
              <w:rPr>
                <w:rFonts w:eastAsia="TimesNewRomanPSMT"/>
                <w:highlight w:val="yellow"/>
              </w:rPr>
              <w:t>Учебными действиями, а также о кругозоре, широте</w:t>
            </w:r>
          </w:p>
          <w:p w:rsidR="00C27E04" w:rsidRPr="00C27E04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  <w:highlight w:val="yellow"/>
              </w:rPr>
            </w:pPr>
            <w:proofErr w:type="gramStart"/>
            <w:r w:rsidRPr="00C27E04">
              <w:rPr>
                <w:rFonts w:eastAsia="TimesNewRomanPSMT"/>
                <w:highlight w:val="yellow"/>
              </w:rPr>
              <w:t>(или</w:t>
            </w:r>
            <w:proofErr w:type="gramEnd"/>
          </w:p>
          <w:p w:rsidR="00C27E04" w:rsidRPr="00C27E04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  <w:highlight w:val="yellow"/>
              </w:rPr>
            </w:pPr>
            <w:r w:rsidRPr="00C27E04">
              <w:rPr>
                <w:rFonts w:eastAsia="TimesNewRomanPSMT"/>
                <w:highlight w:val="yellow"/>
              </w:rPr>
              <w:t>избирательности)</w:t>
            </w:r>
          </w:p>
          <w:p w:rsidR="00C27E04" w:rsidRPr="005606A8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</w:rPr>
            </w:pPr>
            <w:r w:rsidRPr="00C27E04">
              <w:rPr>
                <w:rFonts w:eastAsia="TimesNewRomanPSMT"/>
                <w:highlight w:val="yellow"/>
              </w:rPr>
              <w:t>интересов.</w:t>
            </w:r>
          </w:p>
        </w:tc>
        <w:tc>
          <w:tcPr>
            <w:tcW w:w="1134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</w:rPr>
            </w:pPr>
            <w:r w:rsidRPr="005606A8">
              <w:rPr>
                <w:rFonts w:eastAsia="TimesNewRomanPSMT"/>
              </w:rPr>
              <w:t>«Хорошо</w:t>
            </w:r>
            <w:r w:rsidRPr="005606A8">
              <w:rPr>
                <w:rFonts w:eastAsia="TimesNewRomanPS-BoldMT"/>
              </w:rPr>
              <w:t>»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</w:rPr>
            </w:pPr>
            <w:r w:rsidRPr="005606A8">
              <w:rPr>
                <w:rFonts w:eastAsia="TimesNewRomanPSMT"/>
              </w:rPr>
              <w:t xml:space="preserve">(отметка </w:t>
            </w:r>
            <w:r w:rsidRPr="005606A8">
              <w:rPr>
                <w:rFonts w:eastAsia="TimesNewRomanPS-BoldMT"/>
              </w:rPr>
              <w:t>«4»)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961" w:type="dxa"/>
            <w:vMerge w:val="restart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Индивидуальные траектории обучения </w:t>
            </w:r>
            <w:proofErr w:type="gramStart"/>
            <w:r w:rsidRPr="005606A8">
              <w:rPr>
                <w:rFonts w:eastAsia="TimesNewRomanPSMT"/>
              </w:rPr>
              <w:t>обучающихся</w:t>
            </w:r>
            <w:proofErr w:type="gramEnd"/>
            <w:r w:rsidRPr="005606A8">
              <w:rPr>
                <w:rFonts w:eastAsia="TimesNewRomanPSMT"/>
              </w:rPr>
              <w:t xml:space="preserve"> демонстрирующих повышенный и высокий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уровни достижений целесообразно формировать с учётом интересов этих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обучающихся и их планов </w:t>
            </w:r>
            <w:proofErr w:type="gramStart"/>
            <w:r w:rsidRPr="005606A8">
              <w:rPr>
                <w:rFonts w:eastAsia="TimesNewRomanPSMT"/>
              </w:rPr>
              <w:t>на</w:t>
            </w:r>
            <w:proofErr w:type="gramEnd"/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будущее. При наличии устойчивых интересов к учебному предмету и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5606A8">
              <w:rPr>
                <w:rFonts w:eastAsia="TimesNewRomanPSMT"/>
              </w:rPr>
              <w:t>основательной подготовки по нему такие обучающиеся могут быть вовлечены в проектную деятельность по  предмету и сориентированы</w:t>
            </w:r>
            <w:proofErr w:type="gramEnd"/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на продолжение обучения </w:t>
            </w:r>
            <w:proofErr w:type="gramStart"/>
            <w:r w:rsidRPr="005606A8">
              <w:rPr>
                <w:rFonts w:eastAsia="TimesNewRomanPSMT"/>
              </w:rPr>
              <w:t>в</w:t>
            </w:r>
            <w:proofErr w:type="gramEnd"/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старших классах по </w:t>
            </w:r>
            <w:proofErr w:type="gramStart"/>
            <w:r w:rsidRPr="005606A8">
              <w:rPr>
                <w:rFonts w:eastAsia="TimesNewRomanPSMT"/>
              </w:rPr>
              <w:t>данному</w:t>
            </w:r>
            <w:proofErr w:type="gramEnd"/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профилю</w:t>
            </w:r>
          </w:p>
        </w:tc>
      </w:tr>
      <w:tr w:rsidR="00C27E04" w:rsidRPr="005606A8" w:rsidTr="00C27E04">
        <w:trPr>
          <w:trHeight w:val="497"/>
        </w:trPr>
        <w:tc>
          <w:tcPr>
            <w:tcW w:w="1526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606A8">
              <w:rPr>
                <w:rFonts w:eastAsia="TimesNewRomanPS-BoldMT"/>
                <w:b/>
                <w:bCs/>
              </w:rPr>
              <w:t>Высокий   уровень</w:t>
            </w:r>
          </w:p>
        </w:tc>
        <w:tc>
          <w:tcPr>
            <w:tcW w:w="2977" w:type="dxa"/>
          </w:tcPr>
          <w:p w:rsidR="00C27E04" w:rsidRPr="005606A8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Отметка ставится, если ученик выполнил задание высокого уровня сложности </w:t>
            </w:r>
            <w:r w:rsidRPr="0004703E">
              <w:rPr>
                <w:rFonts w:eastAsia="TimesNewRomanPSMT"/>
                <w:highlight w:val="yellow"/>
              </w:rPr>
              <w:lastRenderedPageBreak/>
              <w:t>без ошибок (в работе допускается один недочет)</w:t>
            </w:r>
          </w:p>
          <w:p w:rsidR="00C27E04" w:rsidRPr="005606A8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Усвоение опорной системы знаний на уровне произвольного овладения</w:t>
            </w:r>
          </w:p>
          <w:p w:rsidR="00C27E04" w:rsidRPr="005606A8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Учебными действиями, а также о кругозоре, широте</w:t>
            </w:r>
          </w:p>
          <w:p w:rsidR="00C27E04" w:rsidRPr="005606A8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5606A8">
              <w:rPr>
                <w:rFonts w:eastAsia="TimesNewRomanPSMT"/>
              </w:rPr>
              <w:t>(или</w:t>
            </w:r>
            <w:proofErr w:type="gramEnd"/>
          </w:p>
          <w:p w:rsidR="00C27E04" w:rsidRPr="005606A8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избирательности)</w:t>
            </w:r>
          </w:p>
          <w:p w:rsidR="00C27E04" w:rsidRPr="005606A8" w:rsidRDefault="00C27E04" w:rsidP="00426A98">
            <w:pPr>
              <w:tabs>
                <w:tab w:val="left" w:pos="566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интересов.</w:t>
            </w:r>
          </w:p>
        </w:tc>
        <w:tc>
          <w:tcPr>
            <w:tcW w:w="1134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lastRenderedPageBreak/>
              <w:t xml:space="preserve">«отлично» (отметка </w:t>
            </w:r>
            <w:r w:rsidRPr="005606A8">
              <w:lastRenderedPageBreak/>
              <w:t>«5»).</w:t>
            </w:r>
          </w:p>
        </w:tc>
        <w:tc>
          <w:tcPr>
            <w:tcW w:w="4961" w:type="dxa"/>
            <w:vMerge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</w:tr>
      <w:tr w:rsidR="00C27E04" w:rsidRPr="005606A8" w:rsidTr="00C27E04">
        <w:tc>
          <w:tcPr>
            <w:tcW w:w="1526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606A8">
              <w:rPr>
                <w:rFonts w:eastAsia="TimesNewRomanPS-BoldMT"/>
                <w:b/>
                <w:bCs/>
              </w:rPr>
              <w:lastRenderedPageBreak/>
              <w:t>Пониженный</w:t>
            </w:r>
          </w:p>
          <w:p w:rsidR="00C27E04" w:rsidRPr="005606A8" w:rsidRDefault="00C27E04" w:rsidP="00426A98">
            <w:pPr>
              <w:jc w:val="both"/>
              <w:outlineLvl w:val="0"/>
              <w:rPr>
                <w:b/>
              </w:rPr>
            </w:pPr>
            <w:r w:rsidRPr="005606A8">
              <w:rPr>
                <w:rFonts w:eastAsia="TimesNewRomanPS-BoldMT"/>
                <w:b/>
                <w:bCs/>
              </w:rPr>
              <w:t>уровень</w:t>
            </w:r>
          </w:p>
        </w:tc>
        <w:tc>
          <w:tcPr>
            <w:tcW w:w="2977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Отметка ставится, если ученик </w:t>
            </w:r>
            <w:r w:rsidRPr="00561BAC">
              <w:rPr>
                <w:rFonts w:eastAsia="TimesNewRomanPSMT"/>
                <w:highlight w:val="yellow"/>
              </w:rPr>
              <w:t>не выполнил задания базового уровня</w:t>
            </w:r>
            <w:r w:rsidRPr="005606A8">
              <w:rPr>
                <w:rFonts w:eastAsia="TimesNewRomanPSMT"/>
              </w:rPr>
              <w:t xml:space="preserve"> Отсутствие систематической базовой подготовки,</w:t>
            </w:r>
          </w:p>
          <w:p w:rsidR="00C27E04" w:rsidRPr="00561BAC" w:rsidRDefault="00C27E04" w:rsidP="00426A98">
            <w:pPr>
              <w:autoSpaceDN w:val="0"/>
              <w:adjustRightInd w:val="0"/>
              <w:rPr>
                <w:rFonts w:eastAsia="TimesNewRomanPSMT"/>
                <w:b/>
                <w:highlight w:val="yellow"/>
              </w:rPr>
            </w:pPr>
            <w:proofErr w:type="gramStart"/>
            <w:r w:rsidRPr="005606A8">
              <w:rPr>
                <w:rFonts w:eastAsia="TimesNewRomanPSMT"/>
              </w:rPr>
              <w:t>обучающимся</w:t>
            </w:r>
            <w:proofErr w:type="gramEnd"/>
            <w:r w:rsidRPr="005606A8">
              <w:rPr>
                <w:rFonts w:eastAsia="TimesNewRomanPSMT"/>
              </w:rPr>
              <w:t xml:space="preserve"> не  освоено даже и </w:t>
            </w:r>
            <w:r w:rsidRPr="00561BAC">
              <w:rPr>
                <w:rFonts w:eastAsia="TimesNewRomanPSMT"/>
                <w:b/>
                <w:highlight w:val="yellow"/>
              </w:rPr>
              <w:t>половины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1BAC">
              <w:rPr>
                <w:rFonts w:eastAsia="TimesNewRomanPSMT"/>
                <w:b/>
                <w:highlight w:val="yellow"/>
              </w:rPr>
              <w:t>планируемых результатов</w:t>
            </w:r>
            <w:r w:rsidRPr="005606A8">
              <w:rPr>
                <w:rFonts w:eastAsia="TimesNewRomanPSMT"/>
              </w:rPr>
              <w:t>,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которые осваивает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большинство </w:t>
            </w:r>
            <w:proofErr w:type="gramStart"/>
            <w:r w:rsidRPr="005606A8">
              <w:rPr>
                <w:rFonts w:eastAsia="TimesNewRomanPSMT"/>
              </w:rPr>
              <w:t>обучающихся</w:t>
            </w:r>
            <w:proofErr w:type="gramEnd"/>
            <w:r w:rsidRPr="005606A8">
              <w:rPr>
                <w:rFonts w:eastAsia="TimesNewRomanPSMT"/>
              </w:rPr>
              <w:t>,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имеются значительные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пробелы в знаниях.</w:t>
            </w:r>
          </w:p>
        </w:tc>
        <w:tc>
          <w:tcPr>
            <w:tcW w:w="1134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«</w:t>
            </w:r>
            <w:proofErr w:type="spellStart"/>
            <w:r w:rsidRPr="005606A8">
              <w:rPr>
                <w:rFonts w:eastAsia="TimesNewRomanPSMT"/>
              </w:rPr>
              <w:t>Неудовлетво</w:t>
            </w:r>
            <w:proofErr w:type="spellEnd"/>
            <w:r w:rsidRPr="005606A8">
              <w:rPr>
                <w:rFonts w:eastAsia="TimesNewRomanPSMT"/>
              </w:rPr>
              <w:t>-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proofErr w:type="spellStart"/>
            <w:r w:rsidRPr="005606A8">
              <w:rPr>
                <w:rFonts w:eastAsia="TimesNewRomanPSMT"/>
              </w:rPr>
              <w:t>рительно</w:t>
            </w:r>
            <w:proofErr w:type="spellEnd"/>
            <w:r w:rsidRPr="005606A8">
              <w:rPr>
                <w:rFonts w:eastAsia="TimesNewRomanPSMT"/>
              </w:rPr>
              <w:t>»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(отметка «2»)</w:t>
            </w:r>
          </w:p>
        </w:tc>
        <w:tc>
          <w:tcPr>
            <w:tcW w:w="4961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Дальнейшее обучение затруднено. Требует специальной диагностики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затруднений в обучении,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пробелов в системе знаний и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оказании </w:t>
            </w:r>
            <w:proofErr w:type="gramStart"/>
            <w:r w:rsidRPr="005606A8">
              <w:rPr>
                <w:rFonts w:eastAsia="TimesNewRomanPSMT"/>
              </w:rPr>
              <w:t>целенаправленной</w:t>
            </w:r>
            <w:proofErr w:type="gramEnd"/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помощи в достижении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базового уровня.</w:t>
            </w:r>
          </w:p>
        </w:tc>
      </w:tr>
      <w:tr w:rsidR="00C27E04" w:rsidRPr="005606A8" w:rsidTr="00C27E04">
        <w:tc>
          <w:tcPr>
            <w:tcW w:w="1526" w:type="dxa"/>
          </w:tcPr>
          <w:p w:rsidR="00C27E04" w:rsidRPr="005606A8" w:rsidRDefault="00C27E04" w:rsidP="00426A98">
            <w:pPr>
              <w:jc w:val="both"/>
              <w:outlineLvl w:val="0"/>
              <w:rPr>
                <w:b/>
              </w:rPr>
            </w:pPr>
            <w:r w:rsidRPr="005606A8">
              <w:rPr>
                <w:b/>
              </w:rPr>
              <w:t>Низкий уровень</w:t>
            </w:r>
          </w:p>
        </w:tc>
        <w:tc>
          <w:tcPr>
            <w:tcW w:w="2977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Отметка ставится, если ученик не приступил к работе Наличие только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отдельных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фрагментарных</w:t>
            </w:r>
          </w:p>
          <w:p w:rsidR="00C27E04" w:rsidRPr="005606A8" w:rsidRDefault="00C27E04" w:rsidP="00426A98">
            <w:pPr>
              <w:jc w:val="both"/>
              <w:outlineLvl w:val="0"/>
              <w:rPr>
                <w:b/>
              </w:rPr>
            </w:pPr>
            <w:r w:rsidRPr="005606A8">
              <w:rPr>
                <w:rFonts w:eastAsia="TimesNewRomanPSMT"/>
              </w:rPr>
              <w:t>знаний по предмету</w:t>
            </w:r>
          </w:p>
        </w:tc>
        <w:tc>
          <w:tcPr>
            <w:tcW w:w="1134" w:type="dxa"/>
          </w:tcPr>
          <w:p w:rsidR="00C27E04" w:rsidRPr="005606A8" w:rsidRDefault="00C27E04" w:rsidP="00426A98">
            <w:pPr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«Плохо»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b/>
              </w:rPr>
            </w:pPr>
            <w:r w:rsidRPr="005606A8">
              <w:rPr>
                <w:rFonts w:eastAsia="TimesNewRomanPSMT"/>
              </w:rPr>
              <w:t>отметка «1»</w:t>
            </w:r>
          </w:p>
        </w:tc>
        <w:tc>
          <w:tcPr>
            <w:tcW w:w="4961" w:type="dxa"/>
          </w:tcPr>
          <w:p w:rsidR="00C27E04" w:rsidRPr="005606A8" w:rsidRDefault="00C27E04" w:rsidP="00426A98">
            <w:pPr>
              <w:tabs>
                <w:tab w:val="left" w:pos="3312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Дальнейшее обучение практически невозможно. Обучающимся, которые демонстрируют низкий</w:t>
            </w:r>
          </w:p>
          <w:p w:rsidR="00C27E04" w:rsidRPr="005606A8" w:rsidRDefault="00C27E04" w:rsidP="00426A98">
            <w:pPr>
              <w:tabs>
                <w:tab w:val="left" w:pos="3312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уровень достижений, требуется специальная помощь не только </w:t>
            </w:r>
            <w:proofErr w:type="gramStart"/>
            <w:r w:rsidRPr="005606A8">
              <w:rPr>
                <w:rFonts w:eastAsia="TimesNewRomanPSMT"/>
              </w:rPr>
              <w:t>по</w:t>
            </w:r>
            <w:proofErr w:type="gramEnd"/>
          </w:p>
          <w:p w:rsidR="00C27E04" w:rsidRPr="005606A8" w:rsidRDefault="00C27E04" w:rsidP="00426A98">
            <w:pPr>
              <w:tabs>
                <w:tab w:val="left" w:pos="3312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учебному предмету, но и </w:t>
            </w:r>
            <w:proofErr w:type="gramStart"/>
            <w:r w:rsidRPr="005606A8">
              <w:rPr>
                <w:rFonts w:eastAsia="TimesNewRomanPSMT"/>
              </w:rPr>
              <w:t>по</w:t>
            </w:r>
            <w:proofErr w:type="gramEnd"/>
          </w:p>
          <w:p w:rsidR="00C27E04" w:rsidRPr="005606A8" w:rsidRDefault="00C27E04" w:rsidP="00426A98">
            <w:pPr>
              <w:tabs>
                <w:tab w:val="left" w:pos="3312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формированию мотивации </w:t>
            </w:r>
            <w:proofErr w:type="gramStart"/>
            <w:r w:rsidRPr="005606A8">
              <w:rPr>
                <w:rFonts w:eastAsia="TimesNewRomanPSMT"/>
              </w:rPr>
              <w:t>к</w:t>
            </w:r>
            <w:proofErr w:type="gramEnd"/>
          </w:p>
          <w:p w:rsidR="00C27E04" w:rsidRPr="005606A8" w:rsidRDefault="00C27E04" w:rsidP="00426A98">
            <w:pPr>
              <w:tabs>
                <w:tab w:val="left" w:pos="3312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обучению, развитию интереса к изучаемой предметной области,</w:t>
            </w:r>
          </w:p>
          <w:p w:rsidR="00C27E04" w:rsidRPr="005606A8" w:rsidRDefault="00C27E04" w:rsidP="00426A98">
            <w:pPr>
              <w:tabs>
                <w:tab w:val="left" w:pos="3312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>пониманию значимости предмета для жизни и др</w:t>
            </w:r>
            <w:proofErr w:type="gramStart"/>
            <w:r w:rsidRPr="005606A8">
              <w:rPr>
                <w:rFonts w:eastAsia="TimesNewRomanPSMT"/>
              </w:rPr>
              <w:t>.Т</w:t>
            </w:r>
            <w:proofErr w:type="gramEnd"/>
            <w:r w:rsidRPr="005606A8">
              <w:rPr>
                <w:rFonts w:eastAsia="TimesNewRomanPSMT"/>
              </w:rPr>
              <w:t>олько наличие положительной мотивации может стать основой</w:t>
            </w:r>
          </w:p>
          <w:p w:rsidR="00C27E04" w:rsidRPr="005606A8" w:rsidRDefault="00C27E04" w:rsidP="00426A98">
            <w:pPr>
              <w:tabs>
                <w:tab w:val="left" w:pos="3312"/>
              </w:tabs>
              <w:autoSpaceDN w:val="0"/>
              <w:adjustRightInd w:val="0"/>
              <w:rPr>
                <w:rFonts w:eastAsia="TimesNewRomanPSMT"/>
              </w:rPr>
            </w:pPr>
            <w:r w:rsidRPr="005606A8">
              <w:rPr>
                <w:rFonts w:eastAsia="TimesNewRomanPSMT"/>
              </w:rPr>
              <w:t xml:space="preserve">ликвидации пробелов </w:t>
            </w:r>
            <w:proofErr w:type="gramStart"/>
            <w:r w:rsidRPr="005606A8">
              <w:rPr>
                <w:rFonts w:eastAsia="TimesNewRomanPSMT"/>
              </w:rPr>
              <w:t>в</w:t>
            </w:r>
            <w:proofErr w:type="gramEnd"/>
          </w:p>
          <w:p w:rsidR="00C27E04" w:rsidRPr="005606A8" w:rsidRDefault="00C27E04" w:rsidP="00426A98">
            <w:pPr>
              <w:tabs>
                <w:tab w:val="left" w:pos="3312"/>
              </w:tabs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5606A8">
              <w:rPr>
                <w:rFonts w:eastAsia="TimesNewRomanPSMT"/>
              </w:rPr>
              <w:lastRenderedPageBreak/>
              <w:t>обучении</w:t>
            </w:r>
            <w:proofErr w:type="gramEnd"/>
            <w:r w:rsidRPr="005606A8">
              <w:rPr>
                <w:rFonts w:eastAsia="TimesNewRomanPSMT"/>
              </w:rPr>
              <w:t xml:space="preserve"> для данной группы</w:t>
            </w:r>
          </w:p>
          <w:p w:rsidR="00C27E04" w:rsidRPr="005606A8" w:rsidRDefault="00C27E04" w:rsidP="00426A98">
            <w:pPr>
              <w:autoSpaceDN w:val="0"/>
              <w:adjustRightInd w:val="0"/>
              <w:rPr>
                <w:b/>
              </w:rPr>
            </w:pPr>
            <w:r w:rsidRPr="005606A8">
              <w:rPr>
                <w:rFonts w:eastAsia="TimesNewRomanPSMT"/>
              </w:rPr>
              <w:t>обучающих</w:t>
            </w:r>
          </w:p>
        </w:tc>
      </w:tr>
    </w:tbl>
    <w:p w:rsidR="00B73C6E" w:rsidRDefault="00B73C6E"/>
    <w:sectPr w:rsidR="00B7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E04"/>
    <w:rsid w:val="00B73C6E"/>
    <w:rsid w:val="00C2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2014-08-21T01:15:00Z</dcterms:created>
  <dcterms:modified xsi:type="dcterms:W3CDTF">2014-08-21T01:18:00Z</dcterms:modified>
</cp:coreProperties>
</file>