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F" w:rsidRDefault="00784B50" w:rsidP="00784B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Богатырское служение родине</w:t>
      </w:r>
    </w:p>
    <w:p w:rsidR="00784B50" w:rsidRDefault="00784B50" w:rsidP="00784B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6 класс</w:t>
      </w:r>
    </w:p>
    <w:p w:rsidR="00784B50" w:rsidRDefault="00784B50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обобщение и расширение изученного материала по теме «Образ Киевской Руси и ее героев в русском фольклоре», ознакомление с интерпретацией былинного эпоса в русском искусстве: живописи и музыке.</w:t>
      </w:r>
    </w:p>
    <w:p w:rsidR="00784B50" w:rsidRDefault="00784B50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картин ВМ Васнецов «Богатыри», МА Врубель «Богатырь», НК Рерих «Богатыри просыпаются»</w:t>
      </w:r>
    </w:p>
    <w:p w:rsidR="00784B50" w:rsidRDefault="00784B50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Римский-Корсаков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«Сказание о невидимом граде Китеже», «Садко». Бородин «Богатырская симфония»</w:t>
      </w:r>
    </w:p>
    <w:p w:rsidR="00784B50" w:rsidRDefault="00784B50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Введение в тему. </w:t>
      </w:r>
    </w:p>
    <w:p w:rsidR="00784B50" w:rsidRDefault="00784B50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10 века – знаменательное событие в истории Руси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Русь обрела относительный покой после многих лет борьбы с внешним врагом, после междоусобных раздоров. С 980 года начал княжить Владимир Святославович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объединены отдельные княжества. В 988 году Русь приняла христианство. </w:t>
      </w:r>
      <w:r w:rsidR="00B661E0">
        <w:rPr>
          <w:rFonts w:ascii="Times New Roman" w:hAnsi="Times New Roman" w:cs="Times New Roman"/>
          <w:sz w:val="28"/>
          <w:szCs w:val="28"/>
        </w:rPr>
        <w:t>Киев стал центром Руси</w:t>
      </w:r>
      <w:proofErr w:type="gramStart"/>
      <w:r w:rsidR="00B661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61E0">
        <w:rPr>
          <w:rFonts w:ascii="Times New Roman" w:hAnsi="Times New Roman" w:cs="Times New Roman"/>
          <w:sz w:val="28"/>
          <w:szCs w:val="28"/>
        </w:rPr>
        <w:t xml:space="preserve"> В этом городе решались важные государственные дела, обсуждались новые походы, вершились судьбы земли русской. Это происходило на княжеских пирах, в кругу друзей, с верной дружиной и знатными мужами города</w:t>
      </w:r>
      <w:proofErr w:type="gramStart"/>
      <w:r w:rsidR="00B661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61E0">
        <w:rPr>
          <w:rFonts w:ascii="Times New Roman" w:hAnsi="Times New Roman" w:cs="Times New Roman"/>
          <w:sz w:val="28"/>
          <w:szCs w:val="28"/>
        </w:rPr>
        <w:t xml:space="preserve"> Славились пиры не только угощениями, но и искусством сказителей-гусляров.</w:t>
      </w:r>
    </w:p>
    <w:p w:rsidR="00B661E0" w:rsidRDefault="00B661E0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что мог славить гусляр Владимира Красно Солнышко? (сумел расширить границы государства, принято христианство, укрепил Русь городами-заставами)</w:t>
      </w:r>
    </w:p>
    <w:p w:rsidR="00B661E0" w:rsidRDefault="00B661E0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княжеском пиру и сам князь, и его гости будут ждать, когда же начнет гусляр свой рассказ о славных русских богатырях. </w:t>
      </w:r>
    </w:p>
    <w:p w:rsidR="00B661E0" w:rsidRDefault="00B661E0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мы называем эти рассказы – песни о богатырях? (былины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о главных героях эпических песен-былин, о Киевском и Новгородском цикле)</w:t>
      </w:r>
      <w:proofErr w:type="gramEnd"/>
    </w:p>
    <w:p w:rsidR="00B661E0" w:rsidRDefault="00B661E0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Древней Руси было два крупнейших культурных центра: Киев и Новгород. Между городами возникло соперничество, которое сказывалось во многом: 1037 году в Киеве заложен Софийский собор, через несколько лет новгородцы начали строить свой Софийский собор. Киев славился былинами, и Новгород имел свои былины или, как их на севере называли, старины. Исполнялись они на пирах-братчинах. Братчины собирали людей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одного ремесла, одного достатка и были намного демократичнее княжеских пиров Киева. По таким братчинам ходил Садко. </w:t>
      </w:r>
    </w:p>
    <w:p w:rsidR="00B661E0" w:rsidRDefault="00B661E0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о гуслярах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Фрагмент оперы «Садко». </w:t>
      </w:r>
    </w:p>
    <w:p w:rsidR="00B661E0" w:rsidRDefault="00B661E0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идея былин – идея защиты святой Руси, земли отцов и дедов, идея богатырского подвига. </w:t>
      </w:r>
    </w:p>
    <w:p w:rsidR="00116AF2" w:rsidRDefault="00116AF2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лучших работ учеников «Богатырское служение Ильи Муромца»</w:t>
      </w:r>
    </w:p>
    <w:p w:rsidR="00116AF2" w:rsidRDefault="00116AF2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помогает богатырям в борьбе с врагами Русской земли? (сила, Богом данная)</w:t>
      </w:r>
    </w:p>
    <w:p w:rsidR="00116AF2" w:rsidRDefault="00116AF2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Музыкально-художественные особенности симфонической сказки Римского-Корсакова «Сказание о невидимом граде Китеже». Слушание симфонической сказки.</w:t>
      </w:r>
    </w:p>
    <w:p w:rsidR="00116AF2" w:rsidRDefault="00116AF2" w:rsidP="00784B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Экскурсия по «живописной мастерской», где картины «Богатыри» ВМ Васнецова, «Богатырь» МА Врубеля, «Богатыри просыпаются» НК Рериха.</w:t>
      </w:r>
      <w:proofErr w:type="gramEnd"/>
    </w:p>
    <w:p w:rsidR="00116AF2" w:rsidRDefault="00116AF2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 Васнецов – «Автопортрет» - высокого роста, пропорционально сложенный. С русой бородой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русыми волосами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 лоб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Умные голубые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Дышит энергией и здоровьем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Увлечение фольклором было особенно характерным для художника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друзья говорили, что они около Виктора Михайловича набирались «русского духа». Картина «Богатыри» - визитная карточка художника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Написана картина в 1988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58B">
        <w:rPr>
          <w:rFonts w:ascii="Times New Roman" w:hAnsi="Times New Roman" w:cs="Times New Roman"/>
          <w:sz w:val="28"/>
          <w:szCs w:val="28"/>
        </w:rPr>
        <w:t>История создания полотна</w:t>
      </w:r>
      <w:proofErr w:type="gramStart"/>
      <w:r w:rsidR="00EC1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158B">
        <w:rPr>
          <w:rFonts w:ascii="Times New Roman" w:hAnsi="Times New Roman" w:cs="Times New Roman"/>
          <w:sz w:val="28"/>
          <w:szCs w:val="28"/>
        </w:rPr>
        <w:t xml:space="preserve"> Художественные детали</w:t>
      </w:r>
      <w:proofErr w:type="gramStart"/>
      <w:r w:rsidR="00EC1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158B">
        <w:rPr>
          <w:rFonts w:ascii="Times New Roman" w:hAnsi="Times New Roman" w:cs="Times New Roman"/>
          <w:sz w:val="28"/>
          <w:szCs w:val="28"/>
        </w:rPr>
        <w:t xml:space="preserve"> Композиция. </w:t>
      </w:r>
    </w:p>
    <w:p w:rsidR="00EC158B" w:rsidRDefault="00EC158B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картины МА Врубеля «Богатырь» 1898. Обобщение: художник «мыслит природу и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неразделимыми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158B" w:rsidRDefault="00EC158B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 содержания предания 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«Отчего перевелись витязи на Святой Руси». </w:t>
      </w:r>
    </w:p>
    <w:p w:rsidR="00EC158B" w:rsidRDefault="00EC158B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Рерих «Богатыри просыпаются»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был первым русским художником, осуществившим «поездку за стариной», специальную поезду по русским городам с целью изучения памятников русской старины. </w:t>
      </w:r>
      <w:r w:rsidR="008A394B">
        <w:rPr>
          <w:rFonts w:ascii="Times New Roman" w:hAnsi="Times New Roman" w:cs="Times New Roman"/>
          <w:sz w:val="28"/>
          <w:szCs w:val="28"/>
        </w:rPr>
        <w:t xml:space="preserve"> 25 городов, 90 этюдов, воссоздающих памятники зодчества</w:t>
      </w:r>
      <w:proofErr w:type="gramStart"/>
      <w:r w:rsidR="008A39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394B">
        <w:rPr>
          <w:rFonts w:ascii="Times New Roman" w:hAnsi="Times New Roman" w:cs="Times New Roman"/>
          <w:sz w:val="28"/>
          <w:szCs w:val="28"/>
        </w:rPr>
        <w:t xml:space="preserve"> Его картина вселяет уверенность, что богатыри просыпаются</w:t>
      </w:r>
      <w:proofErr w:type="gramStart"/>
      <w:r w:rsidR="008A39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394B">
        <w:rPr>
          <w:rFonts w:ascii="Times New Roman" w:hAnsi="Times New Roman" w:cs="Times New Roman"/>
          <w:sz w:val="28"/>
          <w:szCs w:val="28"/>
        </w:rPr>
        <w:t xml:space="preserve"> Они встают на защиту земли Русской</w:t>
      </w:r>
      <w:proofErr w:type="gramStart"/>
      <w:r w:rsidR="008A39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394B">
        <w:rPr>
          <w:rFonts w:ascii="Times New Roman" w:hAnsi="Times New Roman" w:cs="Times New Roman"/>
          <w:sz w:val="28"/>
          <w:szCs w:val="28"/>
        </w:rPr>
        <w:t xml:space="preserve"> Хочется верить, что это так</w:t>
      </w:r>
      <w:proofErr w:type="gramStart"/>
      <w:r w:rsidR="008A39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394B">
        <w:rPr>
          <w:rFonts w:ascii="Times New Roman" w:hAnsi="Times New Roman" w:cs="Times New Roman"/>
          <w:sz w:val="28"/>
          <w:szCs w:val="28"/>
        </w:rPr>
        <w:t xml:space="preserve"> Сила, богом данная для борьбы со злом, черпается ими из «</w:t>
      </w:r>
      <w:r w:rsidR="00B01581">
        <w:rPr>
          <w:rFonts w:ascii="Times New Roman" w:hAnsi="Times New Roman" w:cs="Times New Roman"/>
          <w:sz w:val="28"/>
          <w:szCs w:val="28"/>
        </w:rPr>
        <w:t>не отпитой</w:t>
      </w:r>
      <w:r w:rsidR="008A394B">
        <w:rPr>
          <w:rFonts w:ascii="Times New Roman" w:hAnsi="Times New Roman" w:cs="Times New Roman"/>
          <w:sz w:val="28"/>
          <w:szCs w:val="28"/>
        </w:rPr>
        <w:t xml:space="preserve"> чаши» Руси. </w:t>
      </w:r>
      <w:r w:rsidR="00B01581">
        <w:rPr>
          <w:rFonts w:ascii="Times New Roman" w:hAnsi="Times New Roman" w:cs="Times New Roman"/>
          <w:sz w:val="28"/>
          <w:szCs w:val="28"/>
        </w:rPr>
        <w:t>Не отпитая</w:t>
      </w:r>
      <w:r w:rsidR="008A394B">
        <w:rPr>
          <w:rFonts w:ascii="Times New Roman" w:hAnsi="Times New Roman" w:cs="Times New Roman"/>
          <w:sz w:val="28"/>
          <w:szCs w:val="28"/>
        </w:rPr>
        <w:t xml:space="preserve"> чаша потому, что</w:t>
      </w:r>
      <w:r w:rsidR="00B01581">
        <w:rPr>
          <w:rFonts w:ascii="Times New Roman" w:hAnsi="Times New Roman" w:cs="Times New Roman"/>
          <w:sz w:val="28"/>
          <w:szCs w:val="28"/>
        </w:rPr>
        <w:t>,</w:t>
      </w:r>
      <w:r w:rsidR="008A394B">
        <w:rPr>
          <w:rFonts w:ascii="Times New Roman" w:hAnsi="Times New Roman" w:cs="Times New Roman"/>
          <w:sz w:val="28"/>
          <w:szCs w:val="28"/>
        </w:rPr>
        <w:t xml:space="preserve"> сколько ни пей из нее, кипит ключ в роднике, не убывает вода, и щедро дарит он всех </w:t>
      </w:r>
      <w:r w:rsidR="00B01581">
        <w:rPr>
          <w:rFonts w:ascii="Times New Roman" w:hAnsi="Times New Roman" w:cs="Times New Roman"/>
          <w:sz w:val="28"/>
          <w:szCs w:val="28"/>
        </w:rPr>
        <w:t>припадающих к нему твор</w:t>
      </w:r>
      <w:bookmarkStart w:id="0" w:name="_GoBack"/>
      <w:bookmarkEnd w:id="0"/>
      <w:r w:rsidR="00B01581">
        <w:rPr>
          <w:rFonts w:ascii="Times New Roman" w:hAnsi="Times New Roman" w:cs="Times New Roman"/>
          <w:sz w:val="28"/>
          <w:szCs w:val="28"/>
        </w:rPr>
        <w:t xml:space="preserve">ческой силой. </w:t>
      </w:r>
    </w:p>
    <w:p w:rsidR="00B01581" w:rsidRDefault="00B01581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Викторина по былинам. </w:t>
      </w:r>
    </w:p>
    <w:p w:rsidR="00B01581" w:rsidRDefault="00B01581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Главные герои былин носят вполне реальные черты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Ученые предполагают, что существовали такие люди. Святые мощи Ильи Муромца в Киево-Печерской лавре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Курганы – могилы в ростовских землях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«Добрынин» островок на берегах Оки близ Рязани – все это живые свидетельства богатырской  жизни и верного служения Святой Руси былинных героев, чьи имена передаются  из поколения в поколение. </w:t>
      </w:r>
    </w:p>
    <w:p w:rsidR="00B01581" w:rsidRPr="00784B50" w:rsidRDefault="00B01581" w:rsidP="0078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sectPr w:rsidR="00B01581" w:rsidRPr="0078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50"/>
    <w:rsid w:val="00116AF2"/>
    <w:rsid w:val="00784B50"/>
    <w:rsid w:val="008A394B"/>
    <w:rsid w:val="009A63CF"/>
    <w:rsid w:val="00B01581"/>
    <w:rsid w:val="00B661E0"/>
    <w:rsid w:val="00E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3</cp:revision>
  <dcterms:created xsi:type="dcterms:W3CDTF">2015-11-21T12:40:00Z</dcterms:created>
  <dcterms:modified xsi:type="dcterms:W3CDTF">2015-11-21T13:47:00Z</dcterms:modified>
</cp:coreProperties>
</file>