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A" w:rsidRPr="003810CA" w:rsidRDefault="003810CA" w:rsidP="003810C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</w:pPr>
      <w:r w:rsidRPr="003810CA"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Традиции празднования Святок на Руси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Начиная с Рождественского Сочельника и до  Крещения Господня (19 января), проходят Святки. Это 12 праздничных дней веселья и торжества, посвященные Рождеству Христову.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До принятия Христианства древние славяне в этот период времени праздновали свой зимний праздник – святки. Они устраивали праздничные пиршества и </w:t>
      </w:r>
      <w:proofErr w:type="spellStart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колядование</w:t>
      </w:r>
      <w:proofErr w:type="spellEnd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,  хождение ряженых и различного  рода увеселения. Это был самый веселый праздник зимой, посвященный языческому богу </w:t>
      </w:r>
      <w:proofErr w:type="spellStart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Святовиту</w:t>
      </w:r>
      <w:proofErr w:type="spellEnd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После принятия славянами  Христианства, многие святочные обычаи и традиции древних сохранились и прочно вошли в жизнь православных.</w:t>
      </w: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noProof/>
          <w:color w:val="99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178D9EA" wp14:editId="144C9AD6">
            <wp:simplePos x="0" y="0"/>
            <wp:positionH relativeFrom="column">
              <wp:posOffset>304165</wp:posOffset>
            </wp:positionH>
            <wp:positionV relativeFrom="line">
              <wp:posOffset>114935</wp:posOffset>
            </wp:positionV>
            <wp:extent cx="5486400" cy="5505450"/>
            <wp:effectExtent l="0" t="0" r="0" b="0"/>
            <wp:wrapSquare wrapText="bothSides"/>
            <wp:docPr id="1" name="Рисунок 1" descr="http://otebe.info/risunki/2011/17-12-1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ebe.info/risunki/2011/17-12-11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</w:p>
    <w:p w:rsidR="003810CA" w:rsidRPr="003810CA" w:rsidRDefault="00570636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bookmarkStart w:id="0" w:name="_GoBack"/>
      <w:r w:rsidRPr="003810CA">
        <w:rPr>
          <w:rFonts w:ascii="Verdana" w:eastAsia="Times New Roman" w:hAnsi="Verdana" w:cs="Times New Roman"/>
          <w:noProof/>
          <w:color w:val="000066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41AD1B7B" wp14:editId="29040CBC">
            <wp:simplePos x="0" y="0"/>
            <wp:positionH relativeFrom="column">
              <wp:posOffset>-10160</wp:posOffset>
            </wp:positionH>
            <wp:positionV relativeFrom="line">
              <wp:posOffset>70485</wp:posOffset>
            </wp:positionV>
            <wp:extent cx="5857875" cy="4421505"/>
            <wp:effectExtent l="0" t="0" r="9525" b="0"/>
            <wp:wrapSquare wrapText="bothSides"/>
            <wp:docPr id="3" name="Рисунок 3" descr="святки кол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ятки коля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10CA"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Святки еще называют</w:t>
      </w:r>
      <w:r w:rsid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</w:t>
      </w:r>
      <w:r w:rsidR="003810CA" w:rsidRPr="003810C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  <w:t>«святыми вечерами»</w:t>
      </w:r>
      <w:r w:rsidR="003810C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  <w:t xml:space="preserve"> </w:t>
      </w:r>
      <w:r w:rsidR="003810CA"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в память о событиях Рождества и Крещения Христовых. По традициям христиан в это время никто не работал. Православные </w:t>
      </w:r>
      <w:proofErr w:type="gramStart"/>
      <w:r w:rsidR="003810CA"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ходили</w:t>
      </w:r>
      <w:proofErr w:type="gramEnd"/>
      <w:r w:rsidR="003810CA"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друг к другу в гости, дарили подарки, оказывали помощь людям преклонного возраста, и обязательно давали подаяние нуждающимся.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 старину, в первый день Святок, разжигался костер, который поддерживался 12 праздничных дней, а с возвышенности пускали горящее колесо. Оно символизировало уход старого года со всеми невзгодами.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Традиционно молодежь в праздничные дни Святок обычно наряжались в праздничные наряды, рядились в различные костюмы. Они танцевали, пели и веселились.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Один из популярных старинных обрядов – это </w:t>
      </w:r>
      <w:proofErr w:type="spellStart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колядование</w:t>
      </w:r>
      <w:proofErr w:type="spellEnd"/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. Коляда – так называли православный обряд, который прославлял праздник Рождества Христова. Собираясь шумной компанией, молодежь переодевалась в тулупы в вывернутые наизнанку, надевали маски, наряжались, брали изображение Вифлеемской звезды и ходили по селу от дома к дому колядовать.</w:t>
      </w:r>
    </w:p>
    <w:p w:rsid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</w:pP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ru-RU"/>
        </w:rPr>
        <w:lastRenderedPageBreak/>
        <w:t>Колядки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  <w:t xml:space="preserve"> </w:t>
      </w: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- это праздничные песни, которые исполнялись юношами и девушками, подходя на порог дома. Они желали благополучие и процветание семье, а также исполняли молитвенные песнопения, прославляя Иисуса Христа.  В свою очередь каждый хозяин или хозяйка дома одаривали их подарками и различными угощениями.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Среди молодежи очень популярны были</w:t>
      </w:r>
      <w:r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</w:t>
      </w:r>
      <w:r w:rsidRPr="003810C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  <w:t>святочные гадания</w:t>
      </w: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. Обычно гадали девушки. Они уединялись в помещениях, распускали волосы, снимали все обереги, крестик и приступали к таинству ворожбы. Были известны различные способы гадания – это гадание по воску свечи, по травам и цветам, по звукам, использовали  зеркало, чтобы увидеть своего суженного. Темы гадания была различны – об урожае, об удаче, о дальнейшей жизни, обо всем, что волновало человека.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Святки сопровождались народными гуляниями, устраивались ярмарки и балаганы, где проходили театрализованные представления. На ярмарках можно было отведать различные угощения, купить подарки и повеселиться от души. Люди собирались шумной компанией устраивали катание на санях, строили снежные крепости и веселились под искрометный юмор скоморохов.</w:t>
      </w:r>
    </w:p>
    <w:p w:rsidR="003810CA" w:rsidRPr="003810CA" w:rsidRDefault="003810CA" w:rsidP="003810CA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Заканчивались Святки 19 января. В этот день по преданию</w:t>
      </w:r>
      <w:r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</w:t>
      </w:r>
      <w:r w:rsidRPr="003810C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ru-RU"/>
        </w:rPr>
        <w:t>крестили Иисуса Христа</w:t>
      </w: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, поэтому Православные Христиане приходили к водоему, чтобы окунуться  в ледяной воде. Для этого специально проделывали прорубь на водной поверхности  в виде креста. Вокруг проруба все украшалось цветными лентами, узорами из дерева и освещалось Священником. Только после этого православные могли искупаться в прорубе.</w:t>
      </w:r>
    </w:p>
    <w:p w:rsidR="003810CA" w:rsidRPr="00570636" w:rsidRDefault="003810CA" w:rsidP="00570636">
      <w:pPr>
        <w:spacing w:before="100" w:beforeAutospacing="1" w:after="100" w:afterAutospacing="1" w:line="240" w:lineRule="auto"/>
        <w:ind w:left="75"/>
        <w:jc w:val="both"/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</w:pPr>
      <w:r w:rsidRPr="003810CA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>Вот так заканчивались</w:t>
      </w:r>
      <w:r w:rsidR="00570636">
        <w:rPr>
          <w:rFonts w:ascii="Verdana" w:eastAsia="Times New Roman" w:hAnsi="Verdana" w:cs="Times New Roman"/>
          <w:color w:val="000066"/>
          <w:sz w:val="28"/>
          <w:szCs w:val="28"/>
          <w:lang w:eastAsia="ru-RU"/>
        </w:rPr>
        <w:t xml:space="preserve"> святочные гуляния христиан.   </w:t>
      </w:r>
    </w:p>
    <w:p w:rsidR="001202A7" w:rsidRDefault="003810CA" w:rsidP="003810CA">
      <w:pPr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381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8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</w:t>
      </w:r>
      <w:hyperlink r:id="rId7" w:anchor="ixzz3OWvdVgeJ" w:history="1">
        <w:r w:rsidRPr="003810CA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http://otebe.info/prazdnik/tradicii-prazdnovanie-svjatok.html#ixzz3OWvdVgeJ</w:t>
        </w:r>
      </w:hyperlink>
    </w:p>
    <w:p w:rsidR="00570636" w:rsidRDefault="00570636" w:rsidP="00570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0636" w:rsidRDefault="00570636" w:rsidP="00570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0636" w:rsidRDefault="00570636" w:rsidP="00570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0636" w:rsidRPr="00570636" w:rsidRDefault="00570636" w:rsidP="0057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36">
        <w:rPr>
          <w:rFonts w:ascii="Times New Roman" w:hAnsi="Times New Roman" w:cs="Times New Roman"/>
          <w:b/>
          <w:sz w:val="24"/>
          <w:szCs w:val="24"/>
        </w:rPr>
        <w:t xml:space="preserve">Материал подготовила: </w:t>
      </w:r>
      <w:proofErr w:type="spellStart"/>
      <w:r w:rsidRPr="00570636">
        <w:rPr>
          <w:rFonts w:ascii="Times New Roman" w:hAnsi="Times New Roman" w:cs="Times New Roman"/>
          <w:b/>
          <w:sz w:val="24"/>
          <w:szCs w:val="24"/>
        </w:rPr>
        <w:t>Килёва</w:t>
      </w:r>
      <w:proofErr w:type="spellEnd"/>
      <w:r w:rsidRPr="00570636">
        <w:rPr>
          <w:rFonts w:ascii="Times New Roman" w:hAnsi="Times New Roman" w:cs="Times New Roman"/>
          <w:b/>
          <w:sz w:val="24"/>
          <w:szCs w:val="24"/>
        </w:rPr>
        <w:t xml:space="preserve"> О.Н. (воспитатель МБДОУ №61 «Лель» г. Сургут)</w:t>
      </w:r>
    </w:p>
    <w:p w:rsidR="00570636" w:rsidRPr="003810CA" w:rsidRDefault="00570636" w:rsidP="003810CA">
      <w:pPr>
        <w:jc w:val="both"/>
        <w:rPr>
          <w:sz w:val="24"/>
          <w:szCs w:val="24"/>
        </w:rPr>
      </w:pPr>
    </w:p>
    <w:sectPr w:rsidR="00570636" w:rsidRPr="003810CA" w:rsidSect="00570636">
      <w:pgSz w:w="11906" w:h="16838"/>
      <w:pgMar w:top="1134" w:right="1133" w:bottom="142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09"/>
    <w:rsid w:val="001202A7"/>
    <w:rsid w:val="003810CA"/>
    <w:rsid w:val="00570636"/>
    <w:rsid w:val="00C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ebe.info/prazdnik/tradicii-prazdnovanie-svjat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2015-01-11T16:14:00Z</dcterms:created>
  <dcterms:modified xsi:type="dcterms:W3CDTF">2015-11-14T12:13:00Z</dcterms:modified>
</cp:coreProperties>
</file>