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3" w:rsidRPr="00105FB1" w:rsidRDefault="00BA0BF3" w:rsidP="00105FB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направления в годы войны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</w:t>
      </w:r>
      <w:r w:rsid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направлениями музыкального искусства в годы Великой Отечественной войны, </w:t>
      </w:r>
      <w:r w:rsidR="00105FB1"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деятелями,</w:t>
      </w:r>
      <w:r w:rsid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 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ковало и приближало Великую Победу, поднимая боевой и трудовой дух народа, укрепляя веру в победу.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рассвете 22 июня 1941 года без объявления войны фашисты перешли границу СССР.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этого момента жизни миллионов людей, судьбы многих народов, стран оказались сплетенными в единый узел.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ряды защитников Родины вступили не только рабочие, служащие, студенты. Многие музыканты, оставив свои мирные занятия, пошли воевать с врагом с оружием в руках. Многие взялись за свое творческое «оружие», страстной и призывной музыкой участвуя в общенародной борьбе.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труднейших условиях, нередко в непосредственной близости от врага работники искусства дали сотни тысяч концертов, пройдя вместе с солдатами по трудным дорогам войны. Почти 4000 концертных бригад, включавших около 45 тысяч певцов, танцоров, музыкантов, выезжали на фронты Отечественной войны. «Трудно поверить, но 15-16 апреля 1942 года в армии проходили смотр художественной самодеятельности, 320 номеров было показано на его заключительном концерте», - можно прочитать в газете «Советская культура», опубликованной в послевоенное время.</w:t>
      </w:r>
    </w:p>
    <w:p w:rsidR="00105FB1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Самодеятельные и профессиональные коллективы песни и пляски, артисты балетов и театров, музыканты, композиторы, студенты художественных учебных заведений - все они служили трём направлениям: </w:t>
      </w:r>
    </w:p>
    <w:p w:rsidR="00105FB1" w:rsidRPr="00105FB1" w:rsidRDefault="00803B68" w:rsidP="00105FB1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служебно-строевой функции, </w:t>
      </w:r>
    </w:p>
    <w:p w:rsidR="00105FB1" w:rsidRPr="00105FB1" w:rsidRDefault="00803B68" w:rsidP="00105FB1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общественно-церемониальной функции, </w:t>
      </w:r>
    </w:p>
    <w:p w:rsidR="00105FB1" w:rsidRPr="00105FB1" w:rsidRDefault="00803B68" w:rsidP="00105FB1">
      <w:pPr>
        <w:pStyle w:val="a4"/>
        <w:numPr>
          <w:ilvl w:val="0"/>
          <w:numId w:val="1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</w:t>
      </w:r>
      <w:r w:rsidR="00105FB1" w:rsidRPr="00105FB1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-просветительской деятельности.</w:t>
      </w:r>
    </w:p>
    <w:p w:rsidR="00105FB1" w:rsidRDefault="00105FB1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направления </w:t>
      </w:r>
      <w:r w:rsidR="00803B68"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сложились непосредственно в военных ансамблях, оркестрах и хорах на протяжении их развития. Одни концертные бригады выступали перед воинами в городах и провожали музыкой и песнями маршевые роты, отправлявшиеся на фронт, другие постоянно давали концерты на самих фронтах, в госпиталях, третьи участвовали в воинских церемониалах, общественно-политических мероприятиях, парадах и погребениях павших воинов. 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Великую Отечественную Войну множество, различных, культурных направлений, существовавших в советской стране, «переплелись» друг с другом. Это связано с тем, что многие видные композиторы, известные артисты, балетмейстеры, музыканты в годы войны связали свою судьбу и 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творчество с армией и флотом. Ярким примером, характеризующим этот период, является фильм М.Слуцкого «Концерт фронту» 1942 года.</w:t>
      </w:r>
    </w:p>
    <w:p w:rsidR="00105FB1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Композиторы: В.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Мурадели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руководил в годы войны ансамблем песни и пляски Военно-Морского флота; Н.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Будашкин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возглавлял ансамбль песни и пляски Краснознаменного Балтийского флота. В годы войны продолжали свою активную творческую деятельность А.В. Александров, явившимся автором двух важнейших и наиболее распространенных произведений служебно-строевого репертуара периода войны: «Гимн Советского Союза» и «Священная война»; а также С.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Чернецкий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написавший за четыре года войны свыше 50 маршей. </w:t>
      </w:r>
    </w:p>
    <w:p w:rsidR="00F05934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числе участников фронтовых концертных бригад можно выделить таких солистов Большого театра, как М. Михайлова, И. Козловского, С. Лемешева, многих солистов Ленинградского театра оперы и балета имени Кирова. Среди исполнителей русских, лирических эстрадных песен и романсов - Л. Русланова, К.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Шульженко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, Г. Виноградов. Среди балетмейстеров, ставивших в самодеятельных и профессиональных военных ансамблях наиболее известны: Р.В.</w:t>
      </w:r>
      <w:r w:rsidR="00F05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Захаров, внесший в свои постановки сочетание хореографических фрагментов с нетанцевальными,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режиссерски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решенными сценами, и П.П.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Вирский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создавший обобщающий образ армии-освободительницы, многонациональной по составу. </w:t>
      </w:r>
    </w:p>
    <w:p w:rsidR="00803B68" w:rsidRPr="00BA0BF3" w:rsidRDefault="00803B68" w:rsidP="00105FB1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интересно творчество и деятельность эстрадно-джазовых оркестров (</w:t>
      </w:r>
      <w:proofErr w:type="gram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популярных</w:t>
      </w:r>
      <w:proofErr w:type="gram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 время как исполнителей вальсов, танго и фокстрота): Я.Б.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Скоморовского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1941-</w:t>
      </w:r>
      <w:r w:rsidR="00F0593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 годах руководивший джаз-оркестром в составе Центрального ансамбля Военно-морского флота), В.Ф.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Коралли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Н.Г.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Минха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(руководивший в годы войны Театром Балтийского Флота), А.Н. </w:t>
      </w:r>
      <w:proofErr w:type="spellStart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Цфасман</w:t>
      </w:r>
      <w:proofErr w:type="spellEnd"/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(возглавлявший джаз-оркестр всесоюзного радиокомитета).</w:t>
      </w:r>
    </w:p>
    <w:p w:rsidR="00803B68" w:rsidRPr="00BA0BF3" w:rsidRDefault="00803B68" w:rsidP="00F05934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 эстрадные певцы выступали под музыку военных ансамблей. Джазовые оркестры стали аккомпанировать танцорам военных организаций. Артисты балета, танцуя перед обычными людьми и воинами, наполняли свою хореографию героико-патриотической направленностью. Танцоры эстрадных направлений, работая вместе с артистами военных ансамблей, вносили в их хореографию различные формы выражения танца через виртуозные движения, акробатические поддержки, сложные технические приемы, развившиеся до войны на советской эстраде.</w:t>
      </w:r>
    </w:p>
    <w:p w:rsidR="00803B68" w:rsidRPr="00BA0BF3" w:rsidRDefault="00803B68" w:rsidP="00F05934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Репертуар и выразительные средства танцев, в связи с этими явлениями, в самодеятельных и профессиональных военных ансамблях значительно расширились и обогатились. В песенном и музыкальном репертуаре военных ансамблей, наряду с маршами, народным фольклором и классической музыкой, стали исполняться романсы, советское танго (сочетавшее в себе культуру романсов и маршевой музыки), фокстрот, появились тесные, неразрывные связи между жанрами симфонической, </w:t>
      </w: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оперной, камерной и духовой музыки. Танцевальный репертуар стал строиться не только на почве народного танца, но и на сочетании элементов классического и разных жанров эстрадного танца, что отлично видно в появлении многих номеров и танцевальных сюит на военную тему в военных ансамблях и в самодеятельных коллективах после войны.</w:t>
      </w:r>
    </w:p>
    <w:p w:rsidR="00803B68" w:rsidRPr="00BA0BF3" w:rsidRDefault="00803B68" w:rsidP="00F05934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F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заложила основной «фундамент» в творчество военных ансамблей песни и пляски.</w:t>
      </w:r>
    </w:p>
    <w:p w:rsidR="00BA0BF3" w:rsidRDefault="00BA0BF3" w:rsidP="00803B6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A0BF3" w:rsidRPr="006633D6" w:rsidRDefault="00BA0BF3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>Военный период был одним из самых плодотворных в истории советской музыки. В эти годы композиторы создали множество выдающихся произведений, полных веры в победу справедливого дела. Среди них были и крупные симфонические произведения, и кантатно-ораториальные, и камерные, и оперы, и, конечно, в первую очередь песни.</w:t>
      </w:r>
    </w:p>
    <w:p w:rsidR="00522D29" w:rsidRPr="006633D6" w:rsidRDefault="00522D29" w:rsidP="00522D29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>В произведениях симфонической музыки раскрылись замечательные черты русского национального характера, богатый духовный мир советского человека, его мужество и героизм. Символом стойкости родного города восприняли ленинградцы Седьмую симфонию Д.Д. Шостаковича, исполненную 9 августа 1942 года в блокадном Ленинграде.</w:t>
      </w:r>
    </w:p>
    <w:p w:rsidR="00BA0BF3" w:rsidRPr="006633D6" w:rsidRDefault="00BA0BF3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>Боевая песня и марш шагали всю войну рядом с солдатами, поднимая их на героические подвиги. А теплая, задушевная песня украшала досуг в часы затишья между боями, сближала воинов. С первых же дней войны песня стала истинно народным искусством, голосом героической души народа. Примечательно, что лишь за первые два дня войны московские композиторы написали 40 песен, а через четыре дня их было уже более 100.</w:t>
      </w:r>
    </w:p>
    <w:p w:rsidR="00BA0BF3" w:rsidRPr="006633D6" w:rsidRDefault="00BA0BF3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>Одна из самых замечательных песен начальных дней войны - «Священная война» А. Александрова сразу же завоевала всеобщее признание. В ее эпически суровом складе было заключено поистине общенародное осознание патриотического долга. Монументальная по содержанию, лаконичная по выражению, эта песня стала уже в те дни «музыкальной эмблемой Великой Отечественной войны».</w:t>
      </w:r>
    </w:p>
    <w:p w:rsidR="00BA0BF3" w:rsidRPr="006633D6" w:rsidRDefault="00BA0BF3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 xml:space="preserve">Большую популярность завоевали и другие песни военных лет. Не было, пожалуй, человека, который не знал бы песен М.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 xml:space="preserve"> («В лесу прифронтовом» на слова М. Исаковского, «Жди меня» на слова К. Симонова). </w:t>
      </w:r>
      <w:proofErr w:type="gramStart"/>
      <w:r w:rsidRPr="006633D6">
        <w:rPr>
          <w:rFonts w:ascii="Times New Roman" w:hAnsi="Times New Roman" w:cs="Times New Roman"/>
          <w:sz w:val="28"/>
          <w:szCs w:val="28"/>
        </w:rPr>
        <w:t xml:space="preserve">В золотой фонд советской песенной культуры вошли также «Песня смелых» В. Белого (текст А. Суркова), «Ой туманы мои,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растуманы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 xml:space="preserve">» В. Захарова (текст М. Исаковского), «Шумел сурово брянский лес» С.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Каца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 xml:space="preserve"> (текст А. Софронова), «Песня о Днепре» М.</w:t>
      </w:r>
      <w:r w:rsidR="00F05934" w:rsidRPr="006633D6">
        <w:rPr>
          <w:rFonts w:ascii="Times New Roman" w:hAnsi="Times New Roman" w:cs="Times New Roman"/>
          <w:sz w:val="28"/>
          <w:szCs w:val="28"/>
        </w:rPr>
        <w:t xml:space="preserve"> </w:t>
      </w:r>
      <w:r w:rsidRPr="006633D6">
        <w:rPr>
          <w:rFonts w:ascii="Times New Roman" w:hAnsi="Times New Roman" w:cs="Times New Roman"/>
          <w:sz w:val="28"/>
          <w:szCs w:val="28"/>
        </w:rPr>
        <w:t xml:space="preserve">Фрадкина (текст Е.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>), «Заветный камень» (текст А.</w:t>
      </w:r>
      <w:r w:rsidR="00F05934" w:rsidRPr="006633D6">
        <w:rPr>
          <w:rFonts w:ascii="Times New Roman" w:hAnsi="Times New Roman" w:cs="Times New Roman"/>
          <w:sz w:val="28"/>
          <w:szCs w:val="28"/>
        </w:rPr>
        <w:t xml:space="preserve"> </w:t>
      </w:r>
      <w:r w:rsidRPr="006633D6">
        <w:rPr>
          <w:rFonts w:ascii="Times New Roman" w:hAnsi="Times New Roman" w:cs="Times New Roman"/>
          <w:sz w:val="28"/>
          <w:szCs w:val="28"/>
        </w:rPr>
        <w:t>Жарова) и «Песня защитников Москвы» (текст А. Суркова) Б. Мокроусова, «Самовары-самопалы», «Вася-Василек», «Где орел раскинул</w:t>
      </w:r>
      <w:proofErr w:type="gramEnd"/>
      <w:r w:rsidRPr="006633D6">
        <w:rPr>
          <w:rFonts w:ascii="Times New Roman" w:hAnsi="Times New Roman" w:cs="Times New Roman"/>
          <w:sz w:val="28"/>
          <w:szCs w:val="28"/>
        </w:rPr>
        <w:t xml:space="preserve"> крылья» (текст С.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 xml:space="preserve">) А. Новикова, «В землянке» К. </w:t>
      </w:r>
      <w:proofErr w:type="spellStart"/>
      <w:r w:rsidRPr="006633D6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6633D6">
        <w:rPr>
          <w:rFonts w:ascii="Times New Roman" w:hAnsi="Times New Roman" w:cs="Times New Roman"/>
          <w:sz w:val="28"/>
          <w:szCs w:val="28"/>
        </w:rPr>
        <w:t xml:space="preserve"> (текст А. Суркова) и многие другие.</w:t>
      </w:r>
    </w:p>
    <w:p w:rsidR="00522D29" w:rsidRPr="006633D6" w:rsidRDefault="00AC0D27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t>Готовясь к сегодняшней конференции,  был проведен опрос</w:t>
      </w:r>
      <w:r w:rsidR="00522D29" w:rsidRPr="006633D6">
        <w:rPr>
          <w:rFonts w:ascii="Times New Roman" w:hAnsi="Times New Roman" w:cs="Times New Roman"/>
          <w:sz w:val="28"/>
          <w:szCs w:val="28"/>
        </w:rPr>
        <w:t xml:space="preserve"> на знание военных песен, в котором приняли участие</w:t>
      </w:r>
      <w:r w:rsidRPr="006633D6">
        <w:rPr>
          <w:rFonts w:ascii="Times New Roman" w:hAnsi="Times New Roman" w:cs="Times New Roman"/>
          <w:sz w:val="28"/>
          <w:szCs w:val="28"/>
        </w:rPr>
        <w:t xml:space="preserve"> </w:t>
      </w:r>
      <w:r w:rsidR="00522D29" w:rsidRPr="006633D6">
        <w:rPr>
          <w:rFonts w:ascii="Times New Roman" w:hAnsi="Times New Roman" w:cs="Times New Roman"/>
          <w:sz w:val="28"/>
          <w:szCs w:val="28"/>
        </w:rPr>
        <w:t xml:space="preserve">173 </w:t>
      </w:r>
      <w:r w:rsidRPr="006633D6">
        <w:rPr>
          <w:rFonts w:ascii="Times New Roman" w:hAnsi="Times New Roman" w:cs="Times New Roman"/>
          <w:sz w:val="28"/>
          <w:szCs w:val="28"/>
        </w:rPr>
        <w:t>учащихся 5-11 классов</w:t>
      </w:r>
      <w:r w:rsidR="00572F78" w:rsidRPr="006633D6">
        <w:rPr>
          <w:rFonts w:ascii="Times New Roman" w:hAnsi="Times New Roman" w:cs="Times New Roman"/>
          <w:sz w:val="28"/>
          <w:szCs w:val="28"/>
        </w:rPr>
        <w:t>.</w:t>
      </w:r>
    </w:p>
    <w:p w:rsidR="00572F78" w:rsidRPr="006633D6" w:rsidRDefault="00572F78" w:rsidP="00BA0BF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D6">
        <w:rPr>
          <w:rFonts w:ascii="Times New Roman" w:hAnsi="Times New Roman" w:cs="Times New Roman"/>
          <w:sz w:val="28"/>
          <w:szCs w:val="28"/>
        </w:rPr>
        <w:lastRenderedPageBreak/>
        <w:t>Результат вы видите в таблице:</w:t>
      </w:r>
    </w:p>
    <w:tbl>
      <w:tblPr>
        <w:tblStyle w:val="a5"/>
        <w:tblW w:w="0" w:type="auto"/>
        <w:tblInd w:w="1599" w:type="dxa"/>
        <w:tblLook w:val="04A0"/>
      </w:tblPr>
      <w:tblGrid>
        <w:gridCol w:w="709"/>
        <w:gridCol w:w="4111"/>
        <w:gridCol w:w="1686"/>
        <w:gridCol w:w="1256"/>
      </w:tblGrid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22D29" w:rsidRPr="006633D6" w:rsidRDefault="00522D29" w:rsidP="00522D2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1686" w:type="dxa"/>
          </w:tcPr>
          <w:p w:rsidR="00522D29" w:rsidRPr="006633D6" w:rsidRDefault="00522D29" w:rsidP="00522D2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56" w:type="dxa"/>
          </w:tcPr>
          <w:p w:rsidR="00522D29" w:rsidRPr="006633D6" w:rsidRDefault="00522D29" w:rsidP="00522D2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22D29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22D29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«Три танкиста»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«Синий платочек»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«Тёмная ночь»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«Мы за ценой не постоим…»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«По полю танки грохотали…»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«На безымянной высоте»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«Орлёнок»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«В лесу прифронтовом»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522D29" w:rsidRPr="006633D6" w:rsidTr="001D1E90">
        <w:tc>
          <w:tcPr>
            <w:tcW w:w="709" w:type="dxa"/>
          </w:tcPr>
          <w:p w:rsidR="00522D29" w:rsidRPr="006633D6" w:rsidRDefault="00522D29" w:rsidP="00522D29">
            <w:pPr>
              <w:pStyle w:val="a4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D29" w:rsidRPr="006633D6" w:rsidRDefault="00572F78" w:rsidP="00BA0BF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«Жди меня»</w:t>
            </w:r>
          </w:p>
        </w:tc>
        <w:tc>
          <w:tcPr>
            <w:tcW w:w="168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522D29" w:rsidRPr="006633D6" w:rsidRDefault="00572F78" w:rsidP="00572F78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D6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</w:tbl>
    <w:p w:rsidR="00AC0D27" w:rsidRPr="006633D6" w:rsidRDefault="00572F78" w:rsidP="00AC0D27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D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2CDB" w:rsidRPr="006633D6">
        <w:rPr>
          <w:rFonts w:ascii="Times New Roman" w:eastAsia="Times New Roman" w:hAnsi="Times New Roman" w:cs="Times New Roman"/>
          <w:sz w:val="28"/>
          <w:szCs w:val="28"/>
        </w:rPr>
        <w:t>сожалению,</w:t>
      </w:r>
      <w:r w:rsidRPr="006633D6">
        <w:rPr>
          <w:rFonts w:ascii="Times New Roman" w:eastAsia="Times New Roman" w:hAnsi="Times New Roman" w:cs="Times New Roman"/>
          <w:sz w:val="28"/>
          <w:szCs w:val="28"/>
        </w:rPr>
        <w:t xml:space="preserve"> результат не радует.</w:t>
      </w:r>
      <w:r w:rsidR="00FA2CDB" w:rsidRPr="006633D6">
        <w:rPr>
          <w:rFonts w:ascii="Times New Roman" w:eastAsia="Times New Roman" w:hAnsi="Times New Roman" w:cs="Times New Roman"/>
          <w:sz w:val="28"/>
          <w:szCs w:val="28"/>
        </w:rPr>
        <w:t xml:space="preserve"> Хотелось бы, чтобы как можно больше военных песен было на слуху у российских школьников. Ведь советский народ, в годы Великой Отечественной войны, боролся не только за свою свободу, но и за спасение мировой культуры. </w:t>
      </w:r>
    </w:p>
    <w:p w:rsidR="00DA731C" w:rsidRPr="00BA0BF3" w:rsidRDefault="00DA731C" w:rsidP="00AC0D27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A731C" w:rsidRPr="00BA0BF3" w:rsidSect="008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64C"/>
    <w:multiLevelType w:val="hybridMultilevel"/>
    <w:tmpl w:val="A3A2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157C8"/>
    <w:multiLevelType w:val="hybridMultilevel"/>
    <w:tmpl w:val="D0FAB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03B68"/>
    <w:rsid w:val="00105FB1"/>
    <w:rsid w:val="001D1E90"/>
    <w:rsid w:val="00522D29"/>
    <w:rsid w:val="00572F78"/>
    <w:rsid w:val="006633D6"/>
    <w:rsid w:val="00741EA9"/>
    <w:rsid w:val="00803B68"/>
    <w:rsid w:val="008B16F2"/>
    <w:rsid w:val="00AC0D27"/>
    <w:rsid w:val="00BA0BF3"/>
    <w:rsid w:val="00DA731C"/>
    <w:rsid w:val="00F05934"/>
    <w:rsid w:val="00F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FB1"/>
    <w:pPr>
      <w:ind w:left="720"/>
      <w:contextualSpacing/>
    </w:pPr>
  </w:style>
  <w:style w:type="table" w:styleId="a5">
    <w:name w:val="Table Grid"/>
    <w:basedOn w:val="a1"/>
    <w:uiPriority w:val="59"/>
    <w:rsid w:val="00522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2015-04-22T08:24:00Z</cp:lastPrinted>
  <dcterms:created xsi:type="dcterms:W3CDTF">2015-04-06T15:43:00Z</dcterms:created>
  <dcterms:modified xsi:type="dcterms:W3CDTF">2015-04-22T08:26:00Z</dcterms:modified>
</cp:coreProperties>
</file>