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20" w:rsidRPr="00721020" w:rsidRDefault="00721020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721020">
        <w:rPr>
          <w:rFonts w:ascii="Calibri" w:eastAsia="Calibri" w:hAnsi="Calibri" w:cs="Times New Roman"/>
          <w:b/>
          <w:i/>
          <w:sz w:val="28"/>
          <w:szCs w:val="28"/>
          <w:u w:val="single"/>
        </w:rPr>
        <w:t>Календарно-тематическое планирование по литературе для 11 класса</w:t>
      </w:r>
    </w:p>
    <w:p w:rsidR="00721020" w:rsidRPr="00721020" w:rsidRDefault="00721020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721020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по учебнику В.А. </w:t>
      </w:r>
      <w:proofErr w:type="spellStart"/>
      <w:r w:rsidRPr="00721020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Чалмаева</w:t>
      </w:r>
      <w:proofErr w:type="spellEnd"/>
      <w:r w:rsidRPr="00721020">
        <w:rPr>
          <w:rFonts w:ascii="Calibri" w:eastAsia="Calibri" w:hAnsi="Calibri" w:cs="Times New Roman"/>
          <w:b/>
          <w:i/>
          <w:sz w:val="28"/>
          <w:szCs w:val="28"/>
          <w:u w:val="single"/>
        </w:rPr>
        <w:t>, С.А. Зинина (102 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01"/>
        <w:gridCol w:w="797"/>
        <w:gridCol w:w="7324"/>
        <w:gridCol w:w="2126"/>
        <w:gridCol w:w="1134"/>
        <w:gridCol w:w="2204"/>
      </w:tblGrid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дата</w:t>
            </w: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№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примечание</w:t>
            </w: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Введение. 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Начало ХХ века: ожидания, тревоги и надежды мастеров культуры.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Литература на рубеже Х</w:t>
            </w:r>
            <w:proofErr w:type="gramStart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Х и ХХ веков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Судьба реализма: историческое место произведений Л.Н. Толстого и А.П. Чехова на рубеже Х</w:t>
            </w:r>
            <w:proofErr w:type="gramStart"/>
            <w:r w:rsidRPr="00721020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Х и ХХ веков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С.р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по  терминам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Пьеса А.П. Чехова «Вишневый сад»: конфликт, герои,   смысл названия, проблемы, идея.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Творчество И.А. Бунина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«Антоновские яблоки» (1900 г.) - лирическая новелла воспоминаний./ Раздумья о судьбах России. Повесть «Деревня» (1910г)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Острое чувство кризиса цивилизации в рассказе И.А. Бунина «Господин из Сан-Франциско».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Рассказ «Легкое дыхание» (1916 г) – эпитафия ускользающей красоте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Рассказ «Чистый понедельник» (1944 г) – прощание на пороге монастыря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Домашнее сочинение (стр. 56)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Максим Горький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. Путь в литературу. «Макар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Чудра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» (1892), «Старуха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Изергиль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» (1895) – романтические рассказы-легенды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Пьеса «На дне» (1902) – вечный диалог-спор о нравственном восхождении человека.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Что лучше – истина или сострадание?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Сатин и Лука – антиподы или родственный души?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Развернутый ответ на вопрос (см. стр.86)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А. </w:t>
            </w:r>
            <w:proofErr w:type="spellStart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Куприн</w:t>
            </w:r>
            <w:proofErr w:type="gramStart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Ж</w:t>
            </w:r>
            <w:proofErr w:type="gram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изненный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и творческий путь А.И. Куприна. Воплощение нравственного идеала в повести «Олеся».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Изображение кризиса армии как кризиса русской жизни в повести А.И. Куприна «Поединок».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РР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Метафоричность названия повести «Поединок»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Печальная красота неразделенной любви в рассказе «Гранатовый браслет» (1911)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Л.Н. Андреев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. Жизненный и творческий путь. Рассказ «Первый гонорар» (1900) как программа неореализма Л. Андреева. </w:t>
            </w:r>
            <w:proofErr w:type="gram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Пути просветления человеческих душ в ранней прозе Андреева («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Баргамот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Гарська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» (1898), «Ангелочек» (1899)</w:t>
            </w:r>
            <w:proofErr w:type="gramEnd"/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ВН.ЧТ.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«Жизнь Василия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Фивейкого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» (1904) – повесть о «горделивом попе»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Повесть «Иуда Искариот» (1907) – «живая рана» души Л. Андреева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Развернутый ответ на вопрос</w:t>
            </w:r>
          </w:p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(стр.116-117)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Серебряный век русской поэзии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Символизм.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Творчество  </w:t>
            </w: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К. Д.  Бальмонта</w:t>
            </w:r>
            <w:r w:rsidRPr="00721020">
              <w:rPr>
                <w:rFonts w:ascii="Cambria" w:eastAsia="Calibri" w:hAnsi="Cambria" w:cs="Times New Roman"/>
                <w:i/>
                <w:sz w:val="24"/>
                <w:szCs w:val="24"/>
              </w:rPr>
              <w:t>.</w:t>
            </w: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РР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Звукопись как основной прием произведений К. Бальмонта.  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Arial"/>
                <w:sz w:val="24"/>
                <w:szCs w:val="24"/>
                <w:u w:val="single"/>
              </w:rPr>
            </w:pPr>
            <w:r w:rsidRPr="00721020">
              <w:rPr>
                <w:rFonts w:ascii="Cambria" w:eastAsia="Calibri" w:hAnsi="Cambria" w:cs="Arial"/>
                <w:sz w:val="24"/>
                <w:szCs w:val="24"/>
                <w:u w:val="single"/>
              </w:rPr>
              <w:t>краеведение</w:t>
            </w: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А. Блок</w:t>
            </w:r>
            <w:r w:rsidRPr="00721020">
              <w:rPr>
                <w:rFonts w:ascii="Cambria" w:eastAsia="Calibri" w:hAnsi="Cambria" w:cs="Times New Roman"/>
                <w:i/>
                <w:sz w:val="24"/>
                <w:szCs w:val="24"/>
              </w:rPr>
              <w:t>: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первый поэт общенационального значения эпохи Серебряного века.  Стихи о Прекрасной Даме» (1904) – любовь как центральный момент становления личности, открытия России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РР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«Идеальная «Незнакомка» на пороге «страшного мира». 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«Страшный мир! Он для сердца тесен». Стихотворение «На железной дороге» /Цикл «На поле Куликовом» (1908) – трагическое предупреждение «об эпохе «неслыханных перемен»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26,27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Поэма «Двенадцать» (1918) – книга бесстрашной искренности перед лицом бури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Домашнее</w:t>
            </w:r>
          </w:p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сочинение</w:t>
            </w:r>
          </w:p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(стр. 207)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Иннокентий Анненский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– необходимое звено между символизмом и акмеизмом. Кризис символизма. Акмеизм. Смысл его манифестов.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29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Что такое футуризм и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кубофутуризм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? Творчество Игоря Северянина и В. Хлебникова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РР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Новокрестьянские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поэты 1910–х годов. Взаимовлияние символизма и реализма.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Развернутый ответ на вопрос (стр. 251-252)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Н.Гумилев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. Стихотворения «Жираф» (1908) и «Кенгуру» (1910) как путешествия </w:t>
            </w:r>
            <w:proofErr w:type="gram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в глубь</w:t>
            </w:r>
            <w:proofErr w:type="gram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души./«Заблудившийся трамвай» (1921) – загадочный полет через разные эпохи, страны, состояния души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Место </w:t>
            </w: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Ахматовой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в русской поэзии  ХХ века. Художественное своеобразие «лирического романа» Ахматовой в книгах «Вечер» (1912), «Четки» (1914), «Белая стая» (1917)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Новый лик лирической героини Ахматовой в стихах периода революции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«Реквием» (1935-1940): скорбная летопись утрат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ВН.ЧТ.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А.Ахматова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«Поэма без героя»: мучительный опыт самопознания и оценки всей эпохи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Домашнее сочинение</w:t>
            </w:r>
          </w:p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(стр. 295-296)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Уникальность поэтического голоса </w:t>
            </w: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М. Цветаевой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Поэзия Цветаевой – лирический дневник эпохи и история бесконечного сотворения себя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Тема дома-России в поэзии Цветаевой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«Короли смеха» из журнала «</w:t>
            </w:r>
            <w:proofErr w:type="spellStart"/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Сатирикон</w:t>
            </w:r>
            <w:proofErr w:type="spellEnd"/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»</w:t>
            </w:r>
            <w:proofErr w:type="gramStart"/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.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Т</w:t>
            </w:r>
            <w:proofErr w:type="gram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радиции русской сатиры в прозе Аркадия Аверченко.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39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Грустный смех Тэффи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Литературный процесс 20-х годов. 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Литературные группировки, возникшие после Октября 1917 г., их манифесты, декларации, программы (обзорная лекция)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Новые голоса: тема Родины и революции в произведениях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Д.Фурманова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, А. Фадеева, Исаака Бабеля (фрагменты произведений)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Развитие жанра антиутопии: «Мы» (1920) </w:t>
            </w: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Е. Замятина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/ «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Чевенгур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» (1929) А. Платонова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Смех </w:t>
            </w:r>
            <w:proofErr w:type="spellStart"/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М.Зощенко</w:t>
            </w:r>
            <w:proofErr w:type="spellEnd"/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sz w:val="24"/>
                <w:szCs w:val="24"/>
              </w:rPr>
              <w:t>ВН.ЧТ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. Творчество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И.Ильфа</w:t>
            </w:r>
            <w:proofErr w:type="spellEnd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 xml:space="preserve"> и </w:t>
            </w:r>
            <w:proofErr w:type="spellStart"/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Е.Петрова</w:t>
            </w:r>
            <w:proofErr w:type="spellEnd"/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В. Маяковский</w:t>
            </w: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. Язык ранней лирики В. Маяковского: содружество поэзии и живописи русского авангарда. Лирическое «я» поэта.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Поэма «Облако в штанах» (1915)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47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Влюбленный в замысел Революции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21020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«Мое, </w:t>
            </w:r>
            <w:proofErr w:type="spellStart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поэтово</w:t>
            </w:r>
            <w:proofErr w:type="spellEnd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…»: роль и место художника в мире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b/>
                <w:sz w:val="24"/>
                <w:szCs w:val="24"/>
              </w:rPr>
              <w:t>ВН.ЧТ.</w:t>
            </w: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 Поэма «Про это». Тема любви в творчестве Маяковского/»Во весь голос» (1939) – </w:t>
            </w:r>
            <w:proofErr w:type="gramStart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великое</w:t>
            </w:r>
            <w:proofErr w:type="gramEnd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самообъяснение</w:t>
            </w:r>
            <w:proofErr w:type="spellEnd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 и исповедь Маяковского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С.А. Есенин</w:t>
            </w: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. Жизненный путь поэта. «Радуница» (1916) – «есенинская Россия. Стихотворения «Выткался на озере алый свет зари…» (1910) и «Песнь о собаке» (1915)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 Тема революции в творчестве Есенина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Мотивы лирики 1924 – 1925 гг. Поэма «Анна </w:t>
            </w:r>
            <w:proofErr w:type="spellStart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Снегина</w:t>
            </w:r>
            <w:proofErr w:type="spellEnd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 (1925)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b/>
                <w:sz w:val="24"/>
                <w:szCs w:val="24"/>
              </w:rPr>
              <w:t>ВН.ЧТ</w:t>
            </w: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 xml:space="preserve">. Драматические поэмы «Пугачёв» (1921) и «Страна </w:t>
            </w:r>
            <w:proofErr w:type="gramStart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негодяев</w:t>
            </w:r>
            <w:proofErr w:type="gramEnd"/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» (1922-1923) как выражение тревог и ужаса бездорожья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1020">
              <w:rPr>
                <w:rFonts w:ascii="Calibri" w:eastAsia="Calibri" w:hAnsi="Calibri" w:cs="Times New Roman"/>
                <w:sz w:val="24"/>
                <w:szCs w:val="24"/>
              </w:rPr>
              <w:t>Домашнее сочинение по творчеству В. Маяковского и С. Есенина (выбор) (стр.417, 446)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28"/>
                <w:szCs w:val="28"/>
              </w:rPr>
              <w:t>Литературный процесс 30-40 гг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Особенности лирической поэзии. Тема труда в литературе 30-х гг. Тема коллективизации в литературе.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Творчество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Осипа Мандельштама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в 30-ые </w:t>
            </w:r>
            <w:proofErr w:type="spellStart"/>
            <w:proofErr w:type="gram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Эмигрантская «ветвь» русской литературы. Ностальгический реализм И. Бунина и </w:t>
            </w:r>
            <w:proofErr w:type="spell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Шмелева (знакомство с фрагментами произведений). «Парижская нота» русской поэзии 30-ых гг.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Историзм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 Толстого.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Роман «Петр Первый» (1930-1945): образ Петра и образ России в их драматическом единстве.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Анализ эпизода романа «Петр Первый»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М.А. Шолохов.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Жизненный путь писателя.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История создания «Тихого Дона» (1928—1940)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Образы солнца, степного простора, песни в «Тихом Доне»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Идея дома, святости семейного очага. «Мысль семейная» Натальи Мелеховой.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Григорий Мелехов «на грани в борьбе двух начал»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Художественное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своеобразие «Тихого Дона»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65-66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Сочинение</w:t>
            </w:r>
          </w:p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(Стр. 97)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М.А. Булгаков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Своеобразие жизненного опыта М, Булгакова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«Мастер и Маргарита» (1929-1940) – повествование-лабиринт. Три «романа в романе» - о Пилате, о Мастере, о дьяволе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69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Диалог о добре и зле (</w:t>
            </w:r>
            <w:proofErr w:type="spell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Иешуа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и Пилат)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Карнавальный смех Сатаны (деяния </w:t>
            </w:r>
            <w:proofErr w:type="spell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Воланда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и его свиты)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Путь Ивана Бездомного – путь обретения дома, Родины.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Особенности повествовательной ткани романа.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Проблематика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романа (круглый стол)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Устные сообщения </w:t>
            </w:r>
          </w:p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(стр. 134)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Б.Л.Пастернак</w:t>
            </w:r>
            <w:proofErr w:type="spellEnd"/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.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Жизненный и творческий путь поэта. Темы и мотивы лирики </w:t>
            </w:r>
            <w:proofErr w:type="spell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Б.Пастернака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Роман «Доктор Живаго» (1945-1955) – проза поэта. Духовные искания героев романа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Образ Юрия Живаго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Характеристика героя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 Платонов.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Повесть «Сокровенный человек» (1927)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А. Платонов. Повесть «Котлован» (1930) – реквием по утопии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Развернутый ответ на вопрос</w:t>
            </w:r>
          </w:p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(стр. 174)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79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Набоков.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Творческий путь. Лирика Набокова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Роман «Машенька» (1926) – начало бездорожья героев Набокова.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28"/>
                <w:szCs w:val="28"/>
              </w:rPr>
              <w:t>Литература периода Великой Отечественной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войны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(1941-1945). Публицистика военного времени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Мотивы лирики о войне (обзор)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Муз</w:t>
            </w:r>
            <w:proofErr w:type="gram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лит.композиция</w:t>
            </w:r>
            <w:proofErr w:type="spellEnd"/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Проза о войне (обзор)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А.Т. Твардовский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Страницы биографии. Кредо художника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ВН. ЧТ</w:t>
            </w:r>
            <w:r w:rsidRPr="00721020">
              <w:rPr>
                <w:rFonts w:ascii="Calibri" w:eastAsia="Calibri" w:hAnsi="Calibri" w:cs="Times New Roman"/>
                <w:sz w:val="40"/>
                <w:szCs w:val="40"/>
              </w:rPr>
              <w:t>.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«Душа обязана трудиться». Творчество Н. Заболоцкого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Литература 50-80 гг.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«Громкие» и «тихие» лирики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«Окопный реализм» писателей-фронтовиков 60-70 гг. Повесть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К. Воробьева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gram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Убиты</w:t>
            </w:r>
            <w:proofErr w:type="gram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под Москвой» (1961)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Новый образ русской деревни и крестьянской души. Рассказ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Ю. Казакова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«Долгие крики» (1973)/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В. Белов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Повесть «Привычное дело» (1966)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89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Театр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Вампилов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а. Пьесы «Старший сын» (1968), «Утиная охота» (1970)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«Городская проза» (Ю. Трифонов, В. Маканин, А. Битов)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Исторический роман как древо памяти (лекция)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Авторская песня 60-80 </w:t>
            </w:r>
            <w:proofErr w:type="spellStart"/>
            <w:proofErr w:type="gram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(музыкально-литературная композиция)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Домашнее сочинение (стр.312)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М. Шукшин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Шукшинские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чудики – путь к правде народного характера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«Музыкальное слово» Николая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Рубцова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Исповедальное слово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Астафьева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(1924-2001). «Царь-рыба» (1976) – горизонты «натурфилософской прозы»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Устное сообщение (стр. 362)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Распутин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Нравственные уроки повести «Последний срок» (1970)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РР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Развернутый ответ на вопрос 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(стр. 389)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А.Солженицын</w:t>
            </w:r>
            <w:proofErr w:type="spell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 (1918-2008). Повесть «Один день Ивана Денисовича» (1959)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99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b/>
                <w:sz w:val="40"/>
                <w:szCs w:val="40"/>
              </w:rPr>
              <w:t>ВН. ЧТ</w:t>
            </w: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. У литературной карты. В.А. Солоухин (1924-1997)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Новейшая русская проза и поэзия 80-90-х гг. Общая характеристика переломной эпохи. Вен. Ерофеев. Поэма «</w:t>
            </w:r>
            <w:proofErr w:type="gramStart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Москва-Петушки</w:t>
            </w:r>
            <w:proofErr w:type="gramEnd"/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» (1970)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101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 xml:space="preserve">Поэзия и судьба </w:t>
            </w:r>
            <w:r w:rsidRPr="0072102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И. Бродского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721020" w:rsidTr="0038037D">
        <w:tc>
          <w:tcPr>
            <w:tcW w:w="1201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7324" w:type="dxa"/>
          </w:tcPr>
          <w:p w:rsidR="00721020" w:rsidRPr="00721020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Заключение</w:t>
            </w:r>
          </w:p>
        </w:tc>
        <w:tc>
          <w:tcPr>
            <w:tcW w:w="2126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1020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721020" w:rsidRPr="00721020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721020" w:rsidRPr="00721020" w:rsidRDefault="00721020" w:rsidP="00721020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Учитель Кочеткова О.А. МБОУ «СОШ № 21 г.» Владимира</w:t>
      </w:r>
    </w:p>
    <w:p w:rsidR="0047330E" w:rsidRDefault="0047330E"/>
    <w:sectPr w:rsidR="0047330E" w:rsidSect="00DC653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0"/>
    <w:rsid w:val="000A2EDA"/>
    <w:rsid w:val="0024217B"/>
    <w:rsid w:val="0029412A"/>
    <w:rsid w:val="00345B9D"/>
    <w:rsid w:val="0047330E"/>
    <w:rsid w:val="00557164"/>
    <w:rsid w:val="005D7194"/>
    <w:rsid w:val="006361A1"/>
    <w:rsid w:val="00721020"/>
    <w:rsid w:val="007D08A9"/>
    <w:rsid w:val="008339BC"/>
    <w:rsid w:val="008776C5"/>
    <w:rsid w:val="008957A8"/>
    <w:rsid w:val="008A4A82"/>
    <w:rsid w:val="008C7324"/>
    <w:rsid w:val="00A46241"/>
    <w:rsid w:val="00A513A3"/>
    <w:rsid w:val="00A534BF"/>
    <w:rsid w:val="00BB4D12"/>
    <w:rsid w:val="00D2686B"/>
    <w:rsid w:val="00F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7782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2012-02-17T21:18:00Z</dcterms:created>
  <dcterms:modified xsi:type="dcterms:W3CDTF">2012-02-17T21:20:00Z</dcterms:modified>
</cp:coreProperties>
</file>