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B8" w:rsidRPr="00E47AB8" w:rsidRDefault="00E47AB8" w:rsidP="00E47A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47AB8">
        <w:rPr>
          <w:rFonts w:ascii="Times New Roman" w:hAnsi="Times New Roman" w:cs="Times New Roman"/>
          <w:color w:val="0000FF"/>
          <w:sz w:val="24"/>
          <w:szCs w:val="24"/>
        </w:rPr>
        <w:t>Формирование положительной учебной мотивации-</w:t>
      </w:r>
    </w:p>
    <w:p w:rsidR="00E47AB8" w:rsidRPr="00E47AB8" w:rsidRDefault="00E47AB8" w:rsidP="00E47A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47AB8">
        <w:rPr>
          <w:rFonts w:ascii="Times New Roman" w:hAnsi="Times New Roman" w:cs="Times New Roman"/>
          <w:color w:val="0000FF"/>
          <w:sz w:val="24"/>
          <w:szCs w:val="24"/>
        </w:rPr>
        <w:t>главный фактор воспитания здорового образа жизни</w:t>
      </w:r>
    </w:p>
    <w:p w:rsidR="00E47AB8" w:rsidRPr="00E47AB8" w:rsidRDefault="00E47AB8" w:rsidP="00E47A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47AB8">
        <w:rPr>
          <w:rFonts w:ascii="Times New Roman" w:hAnsi="Times New Roman" w:cs="Times New Roman"/>
          <w:color w:val="0000FF"/>
          <w:sz w:val="24"/>
          <w:szCs w:val="24"/>
        </w:rPr>
        <w:t>младших школьников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Поступление ребенка в школу — первая большая и серьезная ступень в его жизни. От периода раннего детства — поры беспечных игр и достаточно большой свободы — дети переходят к постоянному напряженному учебному труду, новому режиму, иному ритму жизни.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Все мы — родители, врачи, педагоги —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- это бесценный дар, который дает человеку природа. Без него жизнь не будет интересной и счастливой. Но часто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 xml:space="preserve"> растрачиваем этот дар попусту, забывая, что потерять здоровье легко, а восстановить очень и очень трудно. В процессе обучения в соответствии с идеями </w:t>
      </w:r>
      <w:proofErr w:type="spellStart"/>
      <w:r w:rsidRPr="00E47AB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47AB8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ставится задача сформировать у младших школьников необходимые знания, умения и навыки здорового образа жизни и научить использовать полученные знания в повседневной жизни. Важным фактором воспитания здорового образа жизни является формирование положительной учебной мотивации. С обучением должны быть связаны не только трудности, но и радости. Этого можно достичь с помощью интересных заданий, веселых, шуточных стихотворных строк, физкультминуток, динамических пауз. Например, при формировании понятий </w:t>
      </w:r>
      <w:r w:rsidRPr="00E47AB8">
        <w:rPr>
          <w:rFonts w:ascii="Times New Roman" w:hAnsi="Times New Roman" w:cs="Times New Roman"/>
          <w:i/>
          <w:iCs/>
          <w:sz w:val="24"/>
          <w:szCs w:val="24"/>
        </w:rPr>
        <w:t xml:space="preserve">сложение, слагаемое, сумма </w:t>
      </w:r>
      <w:r w:rsidRPr="00E47AB8">
        <w:rPr>
          <w:rFonts w:ascii="Times New Roman" w:hAnsi="Times New Roman" w:cs="Times New Roman"/>
          <w:sz w:val="24"/>
          <w:szCs w:val="24"/>
        </w:rPr>
        <w:t>мальчики и девочки становятся в два круга, нарисованных на полу</w:t>
      </w:r>
      <w:r w:rsidRPr="00E47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AB8">
        <w:rPr>
          <w:rFonts w:ascii="Times New Roman" w:hAnsi="Times New Roman" w:cs="Times New Roman"/>
          <w:sz w:val="24"/>
          <w:szCs w:val="24"/>
        </w:rPr>
        <w:t>мелом.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Задание.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i/>
          <w:iCs/>
          <w:sz w:val="24"/>
          <w:szCs w:val="24"/>
        </w:rPr>
        <w:t xml:space="preserve">Первое слагаемое 4 </w:t>
      </w:r>
      <w:r w:rsidRPr="00E47AB8">
        <w:rPr>
          <w:rFonts w:ascii="Times New Roman" w:hAnsi="Times New Roman" w:cs="Times New Roman"/>
          <w:sz w:val="24"/>
          <w:szCs w:val="24"/>
        </w:rPr>
        <w:t>(мальчики стоят, руки на поясе). Мальчики хлопают 4 раза и опускают руки вниз.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i/>
          <w:iCs/>
          <w:sz w:val="24"/>
          <w:szCs w:val="24"/>
        </w:rPr>
        <w:t xml:space="preserve">Второе слагаемое 6 </w:t>
      </w:r>
      <w:r w:rsidRPr="00E47AB8">
        <w:rPr>
          <w:rFonts w:ascii="Times New Roman" w:hAnsi="Times New Roman" w:cs="Times New Roman"/>
          <w:sz w:val="24"/>
          <w:szCs w:val="24"/>
        </w:rPr>
        <w:t>(девочки стоят, руки на поясе). Девочки поднимают руки вверх и опускают их вниз — 6 раз.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i/>
          <w:iCs/>
          <w:sz w:val="24"/>
          <w:szCs w:val="24"/>
        </w:rPr>
        <w:t xml:space="preserve">Сумма: </w:t>
      </w:r>
      <w:r w:rsidRPr="00E47AB8">
        <w:rPr>
          <w:rFonts w:ascii="Times New Roman" w:hAnsi="Times New Roman" w:cs="Times New Roman"/>
          <w:sz w:val="24"/>
          <w:szCs w:val="24"/>
        </w:rPr>
        <w:t>4 + 6 = 10 (прыжки: мальчики —4 прыжка на левой ноге, девочки — 6 прыжков на правой ноге; все вместе — 10 прыжков на обеих ногах).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В свои уроки стараюсь включать элементы технологии В.Ф.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Базарного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>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Помогают активизировать внимание детей на уроке и повысить их работоспособность дыхательные упражнения. Первое и важное условие правильного дыхания — дышать через нос. В зависимости от времени года я проводила такие дыхательные упражнения: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Сдуть с макетов ежика и дерева, вырезанных из цветного картона, листочки.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Дунуть еле-еле.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Чуточку сильнее.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Дунуть так, чтобы листочки улетели.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Лежала между елками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Подушечка с иголками.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Тихонечко лежала,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Потом вдруг убежала.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AB8">
        <w:rPr>
          <w:rFonts w:ascii="Times New Roman" w:hAnsi="Times New Roman" w:cs="Times New Roman"/>
          <w:i/>
          <w:iCs/>
          <w:sz w:val="24"/>
          <w:szCs w:val="24"/>
        </w:rPr>
        <w:t>(Ежик)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Рыжий Егорка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Упал в ведерко.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Сам не утонул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И воды не всколыхнул.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AB8">
        <w:rPr>
          <w:rFonts w:ascii="Times New Roman" w:hAnsi="Times New Roman" w:cs="Times New Roman"/>
          <w:i/>
          <w:iCs/>
          <w:sz w:val="24"/>
          <w:szCs w:val="24"/>
        </w:rPr>
        <w:t>(Лист)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Сдувать с изображения тучки снежинки под тихую музыку.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С неба падали пушинки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На замерзшие поля.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Ель укутали косынкой,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lastRenderedPageBreak/>
        <w:t>Теплой шубой — тополя.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Уроки письма немыслимы без пальчиковой гимнастики. Руки учеников, особенно первоклассников, быстро устают, ведь письмо для них очень сложный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B8">
        <w:rPr>
          <w:rFonts w:ascii="Times New Roman" w:hAnsi="Times New Roman" w:cs="Times New Roman"/>
          <w:sz w:val="24"/>
          <w:szCs w:val="24"/>
        </w:rPr>
        <w:t>процесс. Упражнения для этой цели очень разнообразны, например, массаж пальцев.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Без пальто гулял глупышка,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И замерз он, как ледышка.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Чтобы пальчик отогреть,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Будем мы его тереть.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Забота о здоровье детей подводит меня к широкому использованию в практике нестандартных уроков: уроки-игры, уроки-экскурсии, уроки-путешествия; ежемесячно провожу Праздники здоровья.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Такой праздник включает в себя</w:t>
      </w:r>
      <w:r>
        <w:rPr>
          <w:rFonts w:ascii="Times New Roman" w:hAnsi="Times New Roman" w:cs="Times New Roman"/>
          <w:sz w:val="24"/>
          <w:szCs w:val="24"/>
        </w:rPr>
        <w:t>: приветствие команд, конкурс (</w:t>
      </w:r>
      <w:r w:rsidRPr="00E47AB8">
        <w:rPr>
          <w:rFonts w:ascii="Times New Roman" w:hAnsi="Times New Roman" w:cs="Times New Roman"/>
          <w:sz w:val="24"/>
          <w:szCs w:val="24"/>
        </w:rPr>
        <w:t>например: «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Как правильно почистить зубы» или « Красивая улыбка»), стихи, песни, танцы, эстафету, комплекс утренней гимнастики, игру, подведение итогов.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 xml:space="preserve"> После Праздника здоровья практикую домашние задания творческого характера: составить режим дня, подготовить рисунок « Что я делаю ежедневно для укрепления здоровья», написать рассказ « Мой выходной», составить кроссворд « Здоровье».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Одной из важнейших причин неблагополучия здоровья детей является низкий, слабо формируемый уровень культуры здоровья учащихся и их родителей. Поэтому, проводя внеклассные мероприятия, приглашаю родителей. Дети чувствуют их поддержку и становятся более уверенные. 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Для того,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что бы дети не перегружались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>, при составлении расписания уроков, учитываю то, что каждому предмету присваивается определенное количество баллов по сложности.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При составлении расписания нужно помнить, что в течение недели должно быть 1 или 2 повышения в баллах (желательно 1 или в среду или в четверг),  понедельник и пятница самые разгруженные.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Шкала трудности для младших классов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(по В. И. </w:t>
      </w:r>
      <w:proofErr w:type="spellStart"/>
      <w:r w:rsidRPr="00E47AB8">
        <w:rPr>
          <w:rFonts w:ascii="Times New Roman" w:hAnsi="Times New Roman" w:cs="Times New Roman"/>
          <w:sz w:val="24"/>
          <w:szCs w:val="24"/>
        </w:rPr>
        <w:t>Агаркову</w:t>
      </w:r>
      <w:proofErr w:type="spellEnd"/>
      <w:r w:rsidRPr="00E47AB8">
        <w:rPr>
          <w:rFonts w:ascii="Times New Roman" w:hAnsi="Times New Roman" w:cs="Times New Roman"/>
          <w:sz w:val="24"/>
          <w:szCs w:val="24"/>
        </w:rPr>
        <w:t>)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1260"/>
        <w:gridCol w:w="2520"/>
        <w:gridCol w:w="969"/>
      </w:tblGrid>
      <w:tr w:rsidR="00E47AB8" w:rsidRPr="00E47AB8" w:rsidTr="00471D48">
        <w:trPr>
          <w:trHeight w:val="541"/>
        </w:trPr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№ п. п.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ind w:firstLine="709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Предмет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Баллы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8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7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6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5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E47AB8">
              <w:rPr>
                <w:sz w:val="24"/>
                <w:szCs w:val="24"/>
              </w:rPr>
              <w:t>ИЗО</w:t>
            </w:r>
            <w:proofErr w:type="gramEnd"/>
            <w:r w:rsidRPr="00E47AB8">
              <w:rPr>
                <w:sz w:val="24"/>
                <w:szCs w:val="24"/>
              </w:rPr>
              <w:t xml:space="preserve"> и музыка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3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технология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2</w:t>
            </w:r>
          </w:p>
        </w:tc>
      </w:tr>
      <w:tr w:rsidR="00E47AB8" w:rsidRPr="00E47AB8" w:rsidTr="00471D48">
        <w:tc>
          <w:tcPr>
            <w:tcW w:w="126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физкультура</w:t>
            </w:r>
          </w:p>
        </w:tc>
        <w:tc>
          <w:tcPr>
            <w:tcW w:w="969" w:type="dxa"/>
          </w:tcPr>
          <w:p w:rsidR="00E47AB8" w:rsidRPr="00E47AB8" w:rsidRDefault="00E47AB8" w:rsidP="00E47AB8">
            <w:pPr>
              <w:tabs>
                <w:tab w:val="left" w:pos="6735"/>
              </w:tabs>
              <w:jc w:val="center"/>
              <w:rPr>
                <w:sz w:val="24"/>
                <w:szCs w:val="24"/>
              </w:rPr>
            </w:pPr>
            <w:r w:rsidRPr="00E47AB8">
              <w:rPr>
                <w:sz w:val="24"/>
                <w:szCs w:val="24"/>
              </w:rPr>
              <w:t>1</w:t>
            </w:r>
          </w:p>
        </w:tc>
      </w:tr>
    </w:tbl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Для меня очень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 xml:space="preserve"> с каким настроением дети пришли ко мне на урок. Ежедневно в начале дня они рисуют круги, выбирая цвет по своему настроению.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65pt;margin-top:8.95pt;width:2in;height:1in;z-index:251660288" coordorigin="4941,3654" coordsize="2880,1440">
            <v:oval id="_x0000_s1027" style="position:absolute;left:4941;top:4554;width:540;height:540" fillcolor="#0cf"/>
            <v:oval id="_x0000_s1028" style="position:absolute;left:7281;top:4554;width:540;height:540" fillcolor="#333"/>
            <v:oval id="_x0000_s1029" style="position:absolute;left:4941;top:3654;width:540;height:540" fillcolor="#fc9"/>
            <v:oval id="_x0000_s1030" style="position:absolute;left:7281;top:3654;width:540;height:540" fillcolor="silver"/>
          </v:group>
        </w:pic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радостно                    тревожно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спокойно                    очень плохо</w:t>
      </w: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AB8">
        <w:rPr>
          <w:rFonts w:ascii="Times New Roman" w:hAnsi="Times New Roman" w:cs="Times New Roman"/>
          <w:sz w:val="24"/>
          <w:szCs w:val="24"/>
        </w:rPr>
        <w:t>Если большая половина класса выбирает « серый » и « черный » цвета – это говорит о том, что не стоит проводить в такие дни проверочные работы.</w:t>
      </w:r>
      <w:proofErr w:type="gramEnd"/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Существует множество приемов и средств по формированию положительной учебной мотивации как главного фактора воспитания здорового образа жизни младших школьников, но, на мой взгляд, одним из важных средств формирования положительного </w:t>
      </w:r>
      <w:r w:rsidRPr="00E47AB8">
        <w:rPr>
          <w:rFonts w:ascii="Times New Roman" w:hAnsi="Times New Roman" w:cs="Times New Roman"/>
          <w:sz w:val="24"/>
          <w:szCs w:val="24"/>
        </w:rPr>
        <w:lastRenderedPageBreak/>
        <w:t>отношения к учению является ситуация успеха. Известно, что отрицательное отношение к учению возникает при отсутс</w:t>
      </w:r>
      <w:r w:rsidRPr="00E47AB8">
        <w:rPr>
          <w:rFonts w:ascii="Times New Roman" w:hAnsi="Times New Roman" w:cs="Times New Roman"/>
          <w:sz w:val="24"/>
          <w:szCs w:val="24"/>
        </w:rPr>
        <w:t>т</w:t>
      </w:r>
      <w:r w:rsidRPr="00E47AB8">
        <w:rPr>
          <w:rFonts w:ascii="Times New Roman" w:hAnsi="Times New Roman" w:cs="Times New Roman"/>
          <w:sz w:val="24"/>
          <w:szCs w:val="24"/>
        </w:rPr>
        <w:t>вии успехов. Напротив, приятные переживания, связанные с похвалой учителя, признанием коллектива и пониманием своих возможностей, возбуждают активность, стремление лучше учиться. Издавна успех считался ва</w:t>
      </w:r>
      <w:r w:rsidRPr="00E47AB8">
        <w:rPr>
          <w:rFonts w:ascii="Times New Roman" w:hAnsi="Times New Roman" w:cs="Times New Roman"/>
          <w:sz w:val="24"/>
          <w:szCs w:val="24"/>
        </w:rPr>
        <w:t>ж</w:t>
      </w:r>
      <w:r w:rsidRPr="00E47AB8">
        <w:rPr>
          <w:rFonts w:ascii="Times New Roman" w:hAnsi="Times New Roman" w:cs="Times New Roman"/>
          <w:sz w:val="24"/>
          <w:szCs w:val="24"/>
        </w:rPr>
        <w:t>нейшим стимулом учения. Особенно это относится к младшим школьн</w:t>
      </w:r>
      <w:r w:rsidRPr="00E47AB8">
        <w:rPr>
          <w:rFonts w:ascii="Times New Roman" w:hAnsi="Times New Roman" w:cs="Times New Roman"/>
          <w:sz w:val="24"/>
          <w:szCs w:val="24"/>
        </w:rPr>
        <w:t>и</w:t>
      </w:r>
      <w:r w:rsidRPr="00E47AB8">
        <w:rPr>
          <w:rFonts w:ascii="Times New Roman" w:hAnsi="Times New Roman" w:cs="Times New Roman"/>
          <w:sz w:val="24"/>
          <w:szCs w:val="24"/>
        </w:rPr>
        <w:t>кам. Они любят, чтобы их хвалили, ставили в пример другим. Впечатление от успеха бывает так велико, что может поколебать даже сложившееся о</w:t>
      </w:r>
      <w:r w:rsidRPr="00E47AB8">
        <w:rPr>
          <w:rFonts w:ascii="Times New Roman" w:hAnsi="Times New Roman" w:cs="Times New Roman"/>
          <w:sz w:val="24"/>
          <w:szCs w:val="24"/>
        </w:rPr>
        <w:t>т</w:t>
      </w:r>
      <w:r w:rsidRPr="00E47AB8">
        <w:rPr>
          <w:rFonts w:ascii="Times New Roman" w:hAnsi="Times New Roman" w:cs="Times New Roman"/>
          <w:sz w:val="24"/>
          <w:szCs w:val="24"/>
        </w:rPr>
        <w:t>рицательное отношение к учению. На уроке нередко складывается ситу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ция, когда ученик достигает особого успеха: удачно ответил на трудный вопрос, высказал интересную мысль, нашел необычное решение.  Он п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лучает хорошую оценку, его хвалят, просят дать пояснения, на нем нек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торое время сосредоточивается внимание класса. Такая ситуация может иметь большое значение. Во-первых, у ребенка возникает прилив энергии, он стремится еще и еще раз отличиться. Активность, вызванная стремл</w:t>
      </w:r>
      <w:r w:rsidRPr="00E47AB8">
        <w:rPr>
          <w:rFonts w:ascii="Times New Roman" w:hAnsi="Times New Roman" w:cs="Times New Roman"/>
          <w:sz w:val="24"/>
          <w:szCs w:val="24"/>
        </w:rPr>
        <w:t>е</w:t>
      </w:r>
      <w:r w:rsidRPr="00E47AB8">
        <w:rPr>
          <w:rFonts w:ascii="Times New Roman" w:hAnsi="Times New Roman" w:cs="Times New Roman"/>
          <w:sz w:val="24"/>
          <w:szCs w:val="24"/>
        </w:rPr>
        <w:t>нием к похвале и всеобщему одобрению, переходит в неподдельный интерес к самой работе. Во-вторых, успех, выпавший на долю ученика, производит большое впечатление на его одноклассников. У них возн</w:t>
      </w:r>
      <w:r w:rsidRPr="00E47AB8">
        <w:rPr>
          <w:rFonts w:ascii="Times New Roman" w:hAnsi="Times New Roman" w:cs="Times New Roman"/>
          <w:sz w:val="24"/>
          <w:szCs w:val="24"/>
        </w:rPr>
        <w:t>и</w:t>
      </w:r>
      <w:r w:rsidRPr="00E47AB8">
        <w:rPr>
          <w:rFonts w:ascii="Times New Roman" w:hAnsi="Times New Roman" w:cs="Times New Roman"/>
          <w:sz w:val="24"/>
          <w:szCs w:val="24"/>
        </w:rPr>
        <w:t>кает стремление подражать ему в надежде на такую же удачу. Если учитель способен управлять такими ситуациями, то он может влиять не только на о</w:t>
      </w:r>
      <w:r w:rsidRPr="00E47AB8">
        <w:rPr>
          <w:rFonts w:ascii="Times New Roman" w:hAnsi="Times New Roman" w:cs="Times New Roman"/>
          <w:sz w:val="24"/>
          <w:szCs w:val="24"/>
        </w:rPr>
        <w:t>т</w:t>
      </w:r>
      <w:r w:rsidRPr="00E47AB8">
        <w:rPr>
          <w:rFonts w:ascii="Times New Roman" w:hAnsi="Times New Roman" w:cs="Times New Roman"/>
          <w:sz w:val="24"/>
          <w:szCs w:val="24"/>
        </w:rPr>
        <w:t xml:space="preserve">дельных учащихся, но и одновременно на целый класс. Практика </w:t>
      </w:r>
      <w:proofErr w:type="spellStart"/>
      <w:r w:rsidRPr="00E47AB8">
        <w:rPr>
          <w:rFonts w:ascii="Times New Roman" w:hAnsi="Times New Roman" w:cs="Times New Roman"/>
          <w:sz w:val="24"/>
          <w:szCs w:val="24"/>
        </w:rPr>
        <w:t>показала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47AB8">
        <w:rPr>
          <w:rFonts w:ascii="Times New Roman" w:hAnsi="Times New Roman" w:cs="Times New Roman"/>
          <w:sz w:val="24"/>
          <w:szCs w:val="24"/>
        </w:rPr>
        <w:t xml:space="preserve"> младшие школ</w:t>
      </w:r>
      <w:r w:rsidRPr="00E47AB8">
        <w:rPr>
          <w:rFonts w:ascii="Times New Roman" w:hAnsi="Times New Roman" w:cs="Times New Roman"/>
          <w:sz w:val="24"/>
          <w:szCs w:val="24"/>
        </w:rPr>
        <w:t>ь</w:t>
      </w:r>
      <w:r w:rsidRPr="00E47AB8">
        <w:rPr>
          <w:rFonts w:ascii="Times New Roman" w:hAnsi="Times New Roman" w:cs="Times New Roman"/>
          <w:sz w:val="24"/>
          <w:szCs w:val="24"/>
        </w:rPr>
        <w:t>ники склонны считать самым главным то, за что их хвалят или ставят в пример, п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этому содержание похвалы и ее формулировка имеют для них  большое значение в зависимости от тех задач, которые стоят перед учителем: тщ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тельность выполнения домашних заданий, настойчивость в поиске решения, усвоение каких-либо знаний. Таким образом, ситуация успеха пом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гает мне решать важнейшие задачи обучения и воспитания.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В ходе учебного процесса часто складываются условия, благоприятные для ситуации успеха: знакомство с новой информацией, творческое зад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ние, проблемные вопросы и т.д. Однако, как правило, эти условия благ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приятны для успевающих школьников, так как они знают материал, с удовол</w:t>
      </w:r>
      <w:r w:rsidRPr="00E47AB8">
        <w:rPr>
          <w:rFonts w:ascii="Times New Roman" w:hAnsi="Times New Roman" w:cs="Times New Roman"/>
          <w:sz w:val="24"/>
          <w:szCs w:val="24"/>
        </w:rPr>
        <w:t>ь</w:t>
      </w:r>
      <w:r w:rsidRPr="00E47AB8">
        <w:rPr>
          <w:rFonts w:ascii="Times New Roman" w:hAnsi="Times New Roman" w:cs="Times New Roman"/>
          <w:sz w:val="24"/>
          <w:szCs w:val="24"/>
        </w:rPr>
        <w:t>ствием добывают новую информацию, прислушиваются к советам учителя. А недисциплинированные и слабо усваивающие информацию школ</w:t>
      </w:r>
      <w:r w:rsidRPr="00E47AB8">
        <w:rPr>
          <w:rFonts w:ascii="Times New Roman" w:hAnsi="Times New Roman" w:cs="Times New Roman"/>
          <w:sz w:val="24"/>
          <w:szCs w:val="24"/>
        </w:rPr>
        <w:t>ь</w:t>
      </w:r>
      <w:r w:rsidRPr="00E47AB8">
        <w:rPr>
          <w:rFonts w:ascii="Times New Roman" w:hAnsi="Times New Roman" w:cs="Times New Roman"/>
          <w:sz w:val="24"/>
          <w:szCs w:val="24"/>
        </w:rPr>
        <w:t>ники обычно стараются не участвовать в работе класса, поэтому не приходится и говорить об их успехах. Редкие вспышки активности у т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ких учеников проходят бесследно, их гасят пробелы в знаниях, отсутствие и</w:t>
      </w:r>
      <w:r w:rsidRPr="00E47AB8">
        <w:rPr>
          <w:rFonts w:ascii="Times New Roman" w:hAnsi="Times New Roman" w:cs="Times New Roman"/>
          <w:sz w:val="24"/>
          <w:szCs w:val="24"/>
        </w:rPr>
        <w:t>н</w:t>
      </w:r>
      <w:r w:rsidRPr="00E47AB8">
        <w:rPr>
          <w:rFonts w:ascii="Times New Roman" w:hAnsi="Times New Roman" w:cs="Times New Roman"/>
          <w:sz w:val="24"/>
          <w:szCs w:val="24"/>
        </w:rPr>
        <w:t>тереса в получении информации. Нередко и не заметишь, как проявляется активность у таких учеников, потому что они могут не тянуть руку, на лице нет следов сосредоточенности и внимания, отсутствует д</w:t>
      </w:r>
      <w:r w:rsidRPr="00E47AB8">
        <w:rPr>
          <w:rFonts w:ascii="Times New Roman" w:hAnsi="Times New Roman" w:cs="Times New Roman"/>
          <w:sz w:val="24"/>
          <w:szCs w:val="24"/>
        </w:rPr>
        <w:t>е</w:t>
      </w:r>
      <w:r w:rsidRPr="00E47AB8">
        <w:rPr>
          <w:rFonts w:ascii="Times New Roman" w:hAnsi="Times New Roman" w:cs="Times New Roman"/>
          <w:sz w:val="24"/>
          <w:szCs w:val="24"/>
        </w:rPr>
        <w:t xml:space="preserve">ловое оживление, но учитель не может не  заметить на общем фоне класса, как мелькнет слегка удивленный взгляд, ребенок прислушивается, прекращает разговор. Для таких детей условия ситуации успеха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складываются редко и их приходи</w:t>
      </w:r>
      <w:r w:rsidRPr="00E47AB8">
        <w:rPr>
          <w:rFonts w:ascii="Times New Roman" w:hAnsi="Times New Roman" w:cs="Times New Roman"/>
          <w:sz w:val="24"/>
          <w:szCs w:val="24"/>
        </w:rPr>
        <w:t>т</w:t>
      </w:r>
      <w:r w:rsidRPr="00E47AB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 xml:space="preserve"> долго ждать. Следовательно, ситуации успеха для таких школьников надо создавать искусственно. Ситуации успеха не возникают главным образом потому, что учащиеся не располагают нужными знаниями. В любом уче</w:t>
      </w:r>
      <w:r w:rsidRPr="00E47AB8">
        <w:rPr>
          <w:rFonts w:ascii="Times New Roman" w:hAnsi="Times New Roman" w:cs="Times New Roman"/>
          <w:sz w:val="24"/>
          <w:szCs w:val="24"/>
        </w:rPr>
        <w:t>б</w:t>
      </w:r>
      <w:r w:rsidRPr="00E47AB8">
        <w:rPr>
          <w:rFonts w:ascii="Times New Roman" w:hAnsi="Times New Roman" w:cs="Times New Roman"/>
          <w:sz w:val="24"/>
          <w:szCs w:val="24"/>
        </w:rPr>
        <w:t>ном материале можно найти трудные и легкие, интересные и непривлек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тельные, важные и менее важные моменты. Стараюсь предложить для начала легкое и занимательное задание, не обращая внимания на его важность. Пусть ребенок познает радость успеха, захочет повторить его, поверит в свои силы. Это позволит мне незаметно (в зависимости от индивидуальных особенностей ребенка) повысить требования к нему. Т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ким образом, доступное, интересное содержание учебного материала сп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собствует возникновению ситуации успеха. При этом условии, достижение ученика будет относительным по сравнению с хорошо успевающими уч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щимися, но для самого ученика оно будет значительным. Оценивать достижения такого ученика относительно достижений более успешных одноклассников нельзя.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>Ученику не будет доставлять р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дости похвала, если он «все равно хуже». С другой стороны, преувеличение успеха создает впечатление несправедливости, когда хвалят за неод</w:t>
      </w:r>
      <w:r w:rsidRPr="00E47AB8">
        <w:rPr>
          <w:rFonts w:ascii="Times New Roman" w:hAnsi="Times New Roman" w:cs="Times New Roman"/>
          <w:sz w:val="24"/>
          <w:szCs w:val="24"/>
        </w:rPr>
        <w:t>и</w:t>
      </w:r>
      <w:r w:rsidRPr="00E47AB8">
        <w:rPr>
          <w:rFonts w:ascii="Times New Roman" w:hAnsi="Times New Roman" w:cs="Times New Roman"/>
          <w:sz w:val="24"/>
          <w:szCs w:val="24"/>
        </w:rPr>
        <w:t xml:space="preserve">наковые результаты работы. Чтобы этого не происходило, нужно сравнивать школьника не с другими учениками, а с его прежними работами, т.е. оценивать </w:t>
      </w:r>
      <w:r w:rsidRPr="00E47AB8">
        <w:rPr>
          <w:rFonts w:ascii="Times New Roman" w:hAnsi="Times New Roman" w:cs="Times New Roman"/>
          <w:sz w:val="24"/>
          <w:szCs w:val="24"/>
        </w:rPr>
        <w:lastRenderedPageBreak/>
        <w:t xml:space="preserve">продвижение. Например, анализируя лучшие работы, обращаю внимание детей и на </w:t>
      </w:r>
      <w:proofErr w:type="gramStart"/>
      <w:r w:rsidRPr="00E47AB8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E47AB8">
        <w:rPr>
          <w:rFonts w:ascii="Times New Roman" w:hAnsi="Times New Roman" w:cs="Times New Roman"/>
          <w:sz w:val="24"/>
          <w:szCs w:val="24"/>
        </w:rPr>
        <w:t>, в которой отлично в</w:t>
      </w:r>
      <w:r w:rsidRPr="00E47AB8">
        <w:rPr>
          <w:rFonts w:ascii="Times New Roman" w:hAnsi="Times New Roman" w:cs="Times New Roman"/>
          <w:sz w:val="24"/>
          <w:szCs w:val="24"/>
        </w:rPr>
        <w:t>ы</w:t>
      </w:r>
      <w:r w:rsidRPr="00E47AB8">
        <w:rPr>
          <w:rFonts w:ascii="Times New Roman" w:hAnsi="Times New Roman" w:cs="Times New Roman"/>
          <w:sz w:val="24"/>
          <w:szCs w:val="24"/>
        </w:rPr>
        <w:t>полнены лишь отдельные элементы задания, и подчеркиваю, что ученик «раньше этого не умел, а теперь научился». При организации ситуации успеха необходимо знать индивидуальные особенности ребенка, иначе такая ситу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ция может обернуться неудачей и привести к обратному результату. Э</w:t>
      </w:r>
      <w:r w:rsidRPr="00E47AB8">
        <w:rPr>
          <w:rFonts w:ascii="Times New Roman" w:hAnsi="Times New Roman" w:cs="Times New Roman"/>
          <w:sz w:val="24"/>
          <w:szCs w:val="24"/>
        </w:rPr>
        <w:t>ф</w:t>
      </w:r>
      <w:r w:rsidRPr="00E47AB8">
        <w:rPr>
          <w:rFonts w:ascii="Times New Roman" w:hAnsi="Times New Roman" w:cs="Times New Roman"/>
          <w:sz w:val="24"/>
          <w:szCs w:val="24"/>
        </w:rPr>
        <w:t>фективность планируемых ситуаций успеха возрастает при определенном стечении обстоятельств. Для учащихся большое значение имеет сп</w:t>
      </w:r>
      <w:r w:rsidRPr="00E47AB8">
        <w:rPr>
          <w:rFonts w:ascii="Times New Roman" w:hAnsi="Times New Roman" w:cs="Times New Roman"/>
          <w:sz w:val="24"/>
          <w:szCs w:val="24"/>
        </w:rPr>
        <w:t>о</w:t>
      </w:r>
      <w:r w:rsidRPr="00E47AB8">
        <w:rPr>
          <w:rFonts w:ascii="Times New Roman" w:hAnsi="Times New Roman" w:cs="Times New Roman"/>
          <w:sz w:val="24"/>
          <w:szCs w:val="24"/>
        </w:rPr>
        <w:t>койная деловая обстановка урока, увлеченность класса работой, отсутствие отвлекающих моментов, хорошее настроение учителя.</w:t>
      </w:r>
      <w:r w:rsidRPr="00E47AB8">
        <w:rPr>
          <w:rFonts w:ascii="Times New Roman" w:hAnsi="Times New Roman" w:cs="Times New Roman"/>
          <w:sz w:val="24"/>
          <w:szCs w:val="24"/>
        </w:rPr>
        <w:tab/>
        <w:t>Успех, до</w:t>
      </w:r>
      <w:r w:rsidRPr="00E47AB8">
        <w:rPr>
          <w:rFonts w:ascii="Times New Roman" w:hAnsi="Times New Roman" w:cs="Times New Roman"/>
          <w:sz w:val="24"/>
          <w:szCs w:val="24"/>
        </w:rPr>
        <w:t>с</w:t>
      </w:r>
      <w:r w:rsidRPr="00E47AB8">
        <w:rPr>
          <w:rFonts w:ascii="Times New Roman" w:hAnsi="Times New Roman" w:cs="Times New Roman"/>
          <w:sz w:val="24"/>
          <w:szCs w:val="24"/>
        </w:rPr>
        <w:t>тигнутый без особого труда, часто быстро забывается. Уже на следующем уроке у некоторых учащихся нет и следа той увлеченности, что была нак</w:t>
      </w:r>
      <w:r w:rsidRPr="00E47AB8">
        <w:rPr>
          <w:rFonts w:ascii="Times New Roman" w:hAnsi="Times New Roman" w:cs="Times New Roman"/>
          <w:sz w:val="24"/>
          <w:szCs w:val="24"/>
        </w:rPr>
        <w:t>а</w:t>
      </w:r>
      <w:r w:rsidRPr="00E47AB8">
        <w:rPr>
          <w:rFonts w:ascii="Times New Roman" w:hAnsi="Times New Roman" w:cs="Times New Roman"/>
          <w:sz w:val="24"/>
          <w:szCs w:val="24"/>
        </w:rPr>
        <w:t>нуне.</w:t>
      </w:r>
    </w:p>
    <w:p w:rsidR="00E47AB8" w:rsidRPr="00E47AB8" w:rsidRDefault="00E47AB8" w:rsidP="00E47A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AB8">
        <w:rPr>
          <w:rFonts w:ascii="Times New Roman" w:hAnsi="Times New Roman" w:cs="Times New Roman"/>
          <w:sz w:val="24"/>
          <w:szCs w:val="24"/>
        </w:rPr>
        <w:t>Продолжить работу можно двумя путями: организовать на других уроках новые ситуации успеха, не связанные с предыдущей; напомнить о предш</w:t>
      </w:r>
      <w:r w:rsidRPr="00E47AB8">
        <w:rPr>
          <w:rFonts w:ascii="Times New Roman" w:hAnsi="Times New Roman" w:cs="Times New Roman"/>
          <w:sz w:val="24"/>
          <w:szCs w:val="24"/>
        </w:rPr>
        <w:t>е</w:t>
      </w:r>
      <w:r w:rsidRPr="00E47AB8">
        <w:rPr>
          <w:rFonts w:ascii="Times New Roman" w:hAnsi="Times New Roman" w:cs="Times New Roman"/>
          <w:sz w:val="24"/>
          <w:szCs w:val="24"/>
        </w:rPr>
        <w:t>ствующем успехе и определить новые задачи в рамках того же предмета.</w:t>
      </w:r>
      <w:proofErr w:type="gramEnd"/>
    </w:p>
    <w:p w:rsidR="00E47AB8" w:rsidRPr="00E47AB8" w:rsidRDefault="00E47AB8" w:rsidP="00E47AB8">
      <w:pPr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AB8">
        <w:rPr>
          <w:rFonts w:ascii="Times New Roman" w:hAnsi="Times New Roman" w:cs="Times New Roman"/>
          <w:sz w:val="24"/>
          <w:szCs w:val="24"/>
        </w:rPr>
        <w:t xml:space="preserve">Таким образом, подобная целенаправленная систематическая работа способствует формированию положительной учебной мотивации, которая является главным фактором воспитания здорового образа жизни младших школьников. </w:t>
      </w:r>
    </w:p>
    <w:p w:rsidR="000E0305" w:rsidRPr="00E47AB8" w:rsidRDefault="000E0305" w:rsidP="00E4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305" w:rsidRPr="00E4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AB8"/>
    <w:rsid w:val="000E0305"/>
    <w:rsid w:val="00E4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1556</Words>
  <Characters>8871</Characters>
  <Application>Microsoft Office Word</Application>
  <DocSecurity>0</DocSecurity>
  <Lines>73</Lines>
  <Paragraphs>20</Paragraphs>
  <ScaleCrop>false</ScaleCrop>
  <Company>suz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2012-07-22T16:28:00Z</dcterms:created>
  <dcterms:modified xsi:type="dcterms:W3CDTF">2012-07-22T16:31:00Z</dcterms:modified>
</cp:coreProperties>
</file>