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EF" w:rsidRPr="007367EA" w:rsidRDefault="00984FEF" w:rsidP="006C4FE3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7367EA">
        <w:rPr>
          <w:b/>
          <w:sz w:val="28"/>
          <w:szCs w:val="28"/>
        </w:rPr>
        <w:t>Найди, сколько составляют</w:t>
      </w:r>
      <w:r w:rsidR="00C64A46" w:rsidRPr="007367EA">
        <w:rPr>
          <w:b/>
          <w:sz w:val="28"/>
          <w:szCs w:val="28"/>
        </w:rPr>
        <w:t xml:space="preserve"> (ответ округли до </w:t>
      </w:r>
      <w:r w:rsidR="00BE0F6B" w:rsidRPr="007367EA">
        <w:rPr>
          <w:b/>
          <w:sz w:val="28"/>
          <w:szCs w:val="28"/>
        </w:rPr>
        <w:t>десятых</w:t>
      </w:r>
      <w:r w:rsidR="00C64A46" w:rsidRPr="007367EA">
        <w:rPr>
          <w:b/>
          <w:sz w:val="28"/>
          <w:szCs w:val="28"/>
        </w:rPr>
        <w:t>)</w:t>
      </w:r>
      <w:r w:rsidRPr="007367EA">
        <w:rPr>
          <w:b/>
          <w:sz w:val="28"/>
          <w:szCs w:val="28"/>
        </w:rPr>
        <w:t>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705"/>
        <w:gridCol w:w="2968"/>
        <w:gridCol w:w="2438"/>
      </w:tblGrid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5% от 38 = </w:t>
            </w:r>
          </w:p>
        </w:tc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,04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541%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7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% от 3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12%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25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21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,2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123%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="00F07572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6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58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7%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8 = </w:t>
            </w:r>
          </w:p>
        </w:tc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,14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173%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12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69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34%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18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% от 3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212%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="00F07572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8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8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128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8%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87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,1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% от 38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384%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74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958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22%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49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,3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74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455%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  <w:r w:rsidR="00F07572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6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47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7%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23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,4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576%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13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32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46%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123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123% от </w:t>
            </w:r>
            <w:r w:rsidR="00F07572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73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8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47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1%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147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C64A46">
            <w:pP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54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123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618%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7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85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84%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54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BD3A4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46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,1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541%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99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6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13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5%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2%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BD3A4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,03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21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791%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  <w:r w:rsidR="00F07572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46%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47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BD3A4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72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,56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39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821%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13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8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28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8%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74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BD3A4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,5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47,8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800%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10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18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11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3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6%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BD3A4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73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,7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369%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</w:t>
            </w:r>
            <w:r w:rsidR="00F07572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25713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7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% от 38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56%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69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BD3A4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,69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69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912%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77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12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19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2,5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7%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741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BD3A4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11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,1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654%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94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11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6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6,5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13%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65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BD3A4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,36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12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178% от </w:t>
            </w:r>
            <w:r w:rsidR="00F07572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0,0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9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9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7,4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  <w:tr w:rsidR="007367EA" w:rsidRPr="007367EA" w:rsidTr="009C4C9E">
        <w:trPr>
          <w:tblCellSpacing w:w="15" w:type="dxa"/>
        </w:trPr>
        <w:tc>
          <w:tcPr>
            <w:tcW w:w="1235" w:type="pct"/>
          </w:tcPr>
          <w:p w:rsidR="00984FEF" w:rsidRPr="007367EA" w:rsidRDefault="00984FEF" w:rsidP="00C64A46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3% от </w:t>
            </w:r>
            <w:r w:rsidR="00C64A46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863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235" w:type="pct"/>
          </w:tcPr>
          <w:p w:rsidR="00984FEF" w:rsidRPr="007367EA" w:rsidRDefault="00984FEF" w:rsidP="00BD3A4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55</w:t>
            </w:r>
            <w:r w:rsidR="00FF1EA0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,2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BD3A4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7,5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356" w:type="pct"/>
          </w:tcPr>
          <w:p w:rsidR="00984FEF" w:rsidRPr="007367EA" w:rsidRDefault="00984FEF" w:rsidP="0081338C">
            <w:pPr>
              <w:rPr>
                <w:sz w:val="28"/>
                <w:szCs w:val="28"/>
              </w:rPr>
            </w:pP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212% от </w:t>
            </w:r>
            <w:r w:rsidR="0081338C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2</w:t>
            </w:r>
            <w:r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1105" w:type="pct"/>
          </w:tcPr>
          <w:p w:rsidR="00984FEF" w:rsidRPr="007367EA" w:rsidRDefault="00257137" w:rsidP="00FC1F7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 w:cs="Tahoma"/>
                  <w:sz w:val="28"/>
                  <w:szCs w:val="28"/>
                  <w:lang w:eastAsia="ru-RU"/>
                </w:rPr>
                <m:t>7</m:t>
              </m:r>
              <m:f>
                <m:fPr>
                  <m:ctrlPr>
                    <w:rPr>
                      <w:rFonts w:ascii="Cambria Math" w:eastAsia="Times New Roman" w:hAnsi="Cambria Math" w:cs="Tahoma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ahoma"/>
                      <w:sz w:val="28"/>
                      <w:szCs w:val="28"/>
                      <w:lang w:eastAsia="ru-RU"/>
                    </w:rPr>
                    <m:t>7</m:t>
                  </m:r>
                </m:den>
              </m:f>
            </m:oMath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% от </w:t>
            </w:r>
            <w:r w:rsidR="00FC1F77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0,8</w:t>
            </w:r>
            <w:r w:rsidR="00984FEF" w:rsidRPr="007367EA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= </w:t>
            </w:r>
          </w:p>
        </w:tc>
      </w:tr>
    </w:tbl>
    <w:p w:rsidR="00E97288" w:rsidRPr="007367EA" w:rsidRDefault="00E97288"/>
    <w:p w:rsidR="00E97288" w:rsidRPr="007367EA" w:rsidRDefault="006C4FE3" w:rsidP="006C4FE3">
      <w:pPr>
        <w:pStyle w:val="a6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Средний вес мальчиков того же возраста, что и Митя, равен 56 кг. Вес Мити составляет 70% среднего веса. Сколько килограммов весит Митя?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6C4FE3" w:rsidRPr="007367EA" w:rsidRDefault="006C4FE3" w:rsidP="006C4FE3">
      <w:pPr>
        <w:pStyle w:val="a6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 xml:space="preserve">Городской бюджет составляет 67 </w:t>
      </w:r>
      <w:proofErr w:type="gramStart"/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млн</w:t>
      </w:r>
      <w:proofErr w:type="gramEnd"/>
      <w:r w:rsidRPr="007367EA">
        <w:rPr>
          <w:rFonts w:ascii="Tahoma" w:eastAsia="Times New Roman" w:hAnsi="Tahoma" w:cs="Tahoma"/>
          <w:sz w:val="28"/>
          <w:szCs w:val="28"/>
          <w:lang w:eastAsia="ru-RU"/>
        </w:rPr>
        <w:t xml:space="preserve"> рублей, а расходы на одну из его статей составили 15%. Сколько рублей потрачено на эту статью бюджета?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6C4FE3" w:rsidRPr="007367EA" w:rsidRDefault="006C4FE3" w:rsidP="006C4FE3">
      <w:pPr>
        <w:pStyle w:val="a6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Расходы на одну из статей городского бюджета составляют 1,7%. Выразите эту часть бюджета десятичной дробью.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0B6D64" w:rsidRPr="007367EA" w:rsidRDefault="000B6D64" w:rsidP="000B6D64">
      <w:pPr>
        <w:pStyle w:val="a6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В течение августа огурцы подешевели на 20%, а затем в течение сентября подорожали на 40%. Какая цена больше: в начале августа или в конце сентября – и на сколько процентов?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6C4FE3" w:rsidRPr="007367EA" w:rsidRDefault="006C4FE3" w:rsidP="006C4FE3">
      <w:pPr>
        <w:pStyle w:val="a6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 xml:space="preserve">Государству принадлежит 70% акций предприятия, остальные акции принадлежат частным лицам. Общая прибыль предприятия после уплаты налогов за год составила 60 </w:t>
      </w:r>
      <w:proofErr w:type="gramStart"/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млн</w:t>
      </w:r>
      <w:proofErr w:type="gramEnd"/>
      <w:r w:rsidRPr="007367EA">
        <w:rPr>
          <w:rFonts w:ascii="Tahoma" w:eastAsia="Times New Roman" w:hAnsi="Tahoma" w:cs="Tahoma"/>
          <w:sz w:val="28"/>
          <w:szCs w:val="28"/>
          <w:lang w:eastAsia="ru-RU"/>
        </w:rPr>
        <w:t xml:space="preserve"> руб. Какая сумма (в рублях) из этой прибыли должна пойти на выплату частным акционерам?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6C4FE3" w:rsidRPr="007367EA" w:rsidRDefault="006C4FE3" w:rsidP="006C4FE3">
      <w:pPr>
        <w:pStyle w:val="a6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В начале учебного года в школе было 540 учащихся, а к концу года их стало 648. На сколько процентов увеличилось за учебный год число учащихся?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6C4FE3" w:rsidRPr="007367EA" w:rsidRDefault="006C4FE3" w:rsidP="006C4FE3">
      <w:pPr>
        <w:pStyle w:val="a6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Спортивный магазин проводит акцию: «Любой джемпер по цене 300 рублей. При покупке двух джемперов — скидка на второй 80%». Сколько рублей придётся заплатить за покупку двух джемперов?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6C4FE3" w:rsidRPr="007367EA" w:rsidRDefault="006C4FE3" w:rsidP="006C4FE3">
      <w:pPr>
        <w:pStyle w:val="a6"/>
        <w:numPr>
          <w:ilvl w:val="0"/>
          <w:numId w:val="1"/>
        </w:numPr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В начале года число абонентов телефонной компании «Север» составляло 600 тыс. человек, а в конце года их стало 660 тыс. человек. На сколько процентов увеличилось за год число абонентов этой компании?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6C4FE3" w:rsidRPr="007367EA" w:rsidRDefault="006C4FE3" w:rsidP="006C4FE3">
      <w:pPr>
        <w:pStyle w:val="a6"/>
        <w:numPr>
          <w:ilvl w:val="0"/>
          <w:numId w:val="1"/>
        </w:numPr>
        <w:ind w:left="851" w:hanging="491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Магазин детских товаров закупает погремушки по оптовой цене 120 рублей за одну штуку и продаёт с 35-процентной наценкой. Сколько рублей будут стоить 3 такие погремушки, купленные в этом магазине?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6C4FE3" w:rsidRPr="007367EA" w:rsidRDefault="006C4FE3" w:rsidP="006C4FE3">
      <w:pPr>
        <w:pStyle w:val="a6"/>
        <w:numPr>
          <w:ilvl w:val="0"/>
          <w:numId w:val="1"/>
        </w:numPr>
        <w:ind w:left="851" w:hanging="491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Стоимость проезда в электричке составляет 236 рублей. Школьникам предоставляется скидка 50%. Сколько рублей будет стоить проезд для 3 взрослых и 17 школьников?</w:t>
      </w:r>
    </w:p>
    <w:p w:rsidR="006C4FE3" w:rsidRPr="007367EA" w:rsidRDefault="006C4FE3" w:rsidP="006C4FE3">
      <w:pPr>
        <w:pStyle w:val="a6"/>
        <w:rPr>
          <w:rFonts w:ascii="Tahoma" w:eastAsia="Times New Roman" w:hAnsi="Tahoma" w:cs="Tahoma"/>
          <w:sz w:val="28"/>
          <w:szCs w:val="28"/>
          <w:lang w:eastAsia="ru-RU"/>
        </w:rPr>
      </w:pPr>
      <w:r w:rsidRPr="007367EA">
        <w:rPr>
          <w:rFonts w:ascii="Tahoma" w:eastAsia="Times New Roman" w:hAnsi="Tahoma" w:cs="Tahoma"/>
          <w:sz w:val="28"/>
          <w:szCs w:val="28"/>
          <w:lang w:eastAsia="ru-RU"/>
        </w:rPr>
        <w:t>Ответ: __________________</w:t>
      </w:r>
    </w:p>
    <w:p w:rsidR="00632B69" w:rsidRPr="007367EA" w:rsidRDefault="00632B69">
      <w:bookmarkStart w:id="0" w:name="_GoBack"/>
      <w:bookmarkEnd w:id="0"/>
    </w:p>
    <w:sectPr w:rsidR="00632B69" w:rsidRPr="007367EA" w:rsidSect="00E97288">
      <w:headerReference w:type="default" r:id="rId8"/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EA" w:rsidRDefault="007367EA" w:rsidP="007367EA">
      <w:pPr>
        <w:spacing w:after="0" w:line="240" w:lineRule="auto"/>
      </w:pPr>
      <w:r>
        <w:separator/>
      </w:r>
    </w:p>
  </w:endnote>
  <w:endnote w:type="continuationSeparator" w:id="0">
    <w:p w:rsidR="007367EA" w:rsidRDefault="007367EA" w:rsidP="0073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EA" w:rsidRDefault="007367EA" w:rsidP="007367EA">
      <w:pPr>
        <w:spacing w:after="0" w:line="240" w:lineRule="auto"/>
      </w:pPr>
      <w:r>
        <w:separator/>
      </w:r>
    </w:p>
  </w:footnote>
  <w:footnote w:type="continuationSeparator" w:id="0">
    <w:p w:rsidR="007367EA" w:rsidRDefault="007367EA" w:rsidP="0073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EA" w:rsidRPr="007367EA" w:rsidRDefault="007367EA">
    <w:pPr>
      <w:pStyle w:val="a7"/>
      <w:rPr>
        <w:sz w:val="32"/>
        <w:szCs w:val="32"/>
      </w:rPr>
    </w:pPr>
    <w:r w:rsidRPr="007367EA">
      <w:rPr>
        <w:sz w:val="32"/>
        <w:szCs w:val="32"/>
      </w:rPr>
      <w:t>Фамилия, имя 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A0EA2"/>
    <w:multiLevelType w:val="hybridMultilevel"/>
    <w:tmpl w:val="3E4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88"/>
    <w:rsid w:val="000B6D64"/>
    <w:rsid w:val="00257137"/>
    <w:rsid w:val="004467D9"/>
    <w:rsid w:val="00632B69"/>
    <w:rsid w:val="006C4FE3"/>
    <w:rsid w:val="007367EA"/>
    <w:rsid w:val="0081338C"/>
    <w:rsid w:val="00984FEF"/>
    <w:rsid w:val="009C4C9E"/>
    <w:rsid w:val="00BD3A4C"/>
    <w:rsid w:val="00BE0F6B"/>
    <w:rsid w:val="00C0442D"/>
    <w:rsid w:val="00C21B91"/>
    <w:rsid w:val="00C64A46"/>
    <w:rsid w:val="00E97288"/>
    <w:rsid w:val="00EA1AB3"/>
    <w:rsid w:val="00F07572"/>
    <w:rsid w:val="00FC1F77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1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1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4F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7EA"/>
  </w:style>
  <w:style w:type="paragraph" w:styleId="a9">
    <w:name w:val="footer"/>
    <w:basedOn w:val="a"/>
    <w:link w:val="aa"/>
    <w:uiPriority w:val="99"/>
    <w:unhideWhenUsed/>
    <w:rsid w:val="0073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1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1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4F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7EA"/>
  </w:style>
  <w:style w:type="paragraph" w:styleId="a9">
    <w:name w:val="footer"/>
    <w:basedOn w:val="a"/>
    <w:link w:val="aa"/>
    <w:uiPriority w:val="99"/>
    <w:unhideWhenUsed/>
    <w:rsid w:val="0073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Учитель</cp:lastModifiedBy>
  <cp:revision>19</cp:revision>
  <dcterms:created xsi:type="dcterms:W3CDTF">2015-10-29T17:18:00Z</dcterms:created>
  <dcterms:modified xsi:type="dcterms:W3CDTF">2015-10-30T06:40:00Z</dcterms:modified>
</cp:coreProperties>
</file>