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26" w:rsidRDefault="002A1526" w:rsidP="00DA1F9F">
      <w:pPr>
        <w:rPr>
          <w:sz w:val="28"/>
          <w:szCs w:val="28"/>
        </w:rPr>
      </w:pPr>
    </w:p>
    <w:p w:rsidR="005D08FD" w:rsidRDefault="005D08FD" w:rsidP="005D08FD">
      <w:pPr>
        <w:jc w:val="center"/>
        <w:rPr>
          <w:rFonts w:ascii="Times New Roman" w:hAnsi="Times New Roman" w:cs="Times New Roman"/>
          <w:sz w:val="72"/>
          <w:szCs w:val="72"/>
        </w:rPr>
      </w:pPr>
    </w:p>
    <w:p w:rsidR="005D08FD" w:rsidRDefault="005D08FD" w:rsidP="005D08FD">
      <w:pPr>
        <w:jc w:val="center"/>
        <w:rPr>
          <w:rFonts w:ascii="Times New Roman" w:hAnsi="Times New Roman" w:cs="Times New Roman"/>
          <w:sz w:val="72"/>
          <w:szCs w:val="72"/>
        </w:rPr>
      </w:pPr>
    </w:p>
    <w:p w:rsidR="005D08FD" w:rsidRDefault="005D08FD" w:rsidP="005D08FD">
      <w:pPr>
        <w:jc w:val="center"/>
        <w:rPr>
          <w:rFonts w:ascii="Times New Roman" w:hAnsi="Times New Roman" w:cs="Times New Roman"/>
          <w:sz w:val="72"/>
          <w:szCs w:val="72"/>
        </w:rPr>
      </w:pPr>
    </w:p>
    <w:p w:rsidR="005D08FD" w:rsidRDefault="005D08FD" w:rsidP="005D08FD">
      <w:pPr>
        <w:jc w:val="center"/>
        <w:rPr>
          <w:rFonts w:ascii="Times New Roman" w:hAnsi="Times New Roman" w:cs="Times New Roman"/>
          <w:sz w:val="72"/>
          <w:szCs w:val="72"/>
        </w:rPr>
      </w:pPr>
    </w:p>
    <w:p w:rsidR="00DA1F9F" w:rsidRPr="005D08FD" w:rsidRDefault="005D08FD" w:rsidP="005D08FD">
      <w:pPr>
        <w:jc w:val="center"/>
        <w:rPr>
          <w:rFonts w:ascii="Times New Roman" w:hAnsi="Times New Roman" w:cs="Times New Roman"/>
          <w:sz w:val="72"/>
          <w:szCs w:val="72"/>
        </w:rPr>
      </w:pPr>
      <w:r w:rsidRPr="005D08FD">
        <w:rPr>
          <w:rFonts w:ascii="Times New Roman" w:hAnsi="Times New Roman" w:cs="Times New Roman"/>
          <w:sz w:val="72"/>
          <w:szCs w:val="72"/>
        </w:rPr>
        <w:t>Консультация для родителей на тему «</w:t>
      </w:r>
      <w:r w:rsidR="00DA1F9F" w:rsidRPr="005D08FD">
        <w:rPr>
          <w:rFonts w:ascii="Times New Roman" w:hAnsi="Times New Roman" w:cs="Times New Roman"/>
          <w:sz w:val="72"/>
          <w:szCs w:val="72"/>
        </w:rPr>
        <w:t>Ознакомление дошкольников с народными  промыслами</w:t>
      </w:r>
      <w:proofErr w:type="gramStart"/>
      <w:r w:rsidR="00DA1F9F" w:rsidRPr="005D08FD">
        <w:rPr>
          <w:rFonts w:ascii="Times New Roman" w:hAnsi="Times New Roman" w:cs="Times New Roman"/>
          <w:sz w:val="72"/>
          <w:szCs w:val="72"/>
        </w:rPr>
        <w:t>.</w:t>
      </w:r>
      <w:r w:rsidRPr="005D08FD">
        <w:rPr>
          <w:rFonts w:ascii="Times New Roman" w:hAnsi="Times New Roman" w:cs="Times New Roman"/>
          <w:sz w:val="72"/>
          <w:szCs w:val="72"/>
        </w:rPr>
        <w:t>»</w:t>
      </w:r>
      <w:proofErr w:type="gramEnd"/>
    </w:p>
    <w:p w:rsidR="005D08FD" w:rsidRDefault="005D08FD" w:rsidP="00DA1F9F">
      <w:pPr>
        <w:rPr>
          <w:sz w:val="28"/>
          <w:szCs w:val="28"/>
        </w:rPr>
      </w:pPr>
    </w:p>
    <w:p w:rsidR="005D08FD" w:rsidRDefault="005D08FD" w:rsidP="00DA1F9F">
      <w:pPr>
        <w:rPr>
          <w:sz w:val="28"/>
          <w:szCs w:val="28"/>
        </w:rPr>
      </w:pPr>
    </w:p>
    <w:p w:rsidR="005D08FD" w:rsidRDefault="005D08FD" w:rsidP="00DA1F9F">
      <w:pPr>
        <w:rPr>
          <w:sz w:val="28"/>
          <w:szCs w:val="28"/>
        </w:rPr>
      </w:pPr>
    </w:p>
    <w:p w:rsidR="005D08FD" w:rsidRDefault="005D08FD" w:rsidP="00DA1F9F">
      <w:pPr>
        <w:rPr>
          <w:sz w:val="28"/>
          <w:szCs w:val="28"/>
        </w:rPr>
      </w:pPr>
    </w:p>
    <w:p w:rsidR="005D08FD" w:rsidRDefault="005D08FD" w:rsidP="00DA1F9F">
      <w:pPr>
        <w:rPr>
          <w:sz w:val="28"/>
          <w:szCs w:val="28"/>
        </w:rPr>
      </w:pPr>
    </w:p>
    <w:p w:rsidR="005D08FD" w:rsidRDefault="005D08FD" w:rsidP="00DA1F9F">
      <w:pPr>
        <w:rPr>
          <w:sz w:val="28"/>
          <w:szCs w:val="28"/>
        </w:rPr>
      </w:pPr>
    </w:p>
    <w:p w:rsidR="005D08FD" w:rsidRDefault="005D08FD" w:rsidP="00DA1F9F">
      <w:pPr>
        <w:rPr>
          <w:sz w:val="28"/>
          <w:szCs w:val="28"/>
        </w:rPr>
      </w:pPr>
    </w:p>
    <w:p w:rsidR="005D08FD" w:rsidRDefault="005D08FD" w:rsidP="00DA1F9F">
      <w:pPr>
        <w:rPr>
          <w:sz w:val="28"/>
          <w:szCs w:val="28"/>
        </w:rPr>
      </w:pP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lastRenderedPageBreak/>
        <w:t>В декоративно-прикладном искусстве обобщены эстетические идеалы традиции и обычаи народа. Яркие игрушки и предметы быта, созданные мастерами различных промыслов, входят в нашу жизнь с детства, и каждая встреча с ними - это прикосновение к красоте и народной мудрости. По верованиям всех народов, символы, используемые при оформлении того или иного предмета, их расположение и цветовая гамма имели важное обрядовое и магическое значение. Земледельцы из глины и дерева изготавливали фигурки в форме животных, украшали их орнаментом, исполняли магические обряды, которые должны были принести плодородие их нивам и благоденствие их семьям. После выполнения ритуальных действий фигурки отдавали детям. Так появились новые игрушки.</w:t>
      </w:r>
    </w:p>
    <w:p w:rsidR="00DA1F9F" w:rsidRPr="005D08FD" w:rsidRDefault="00DA1F9F" w:rsidP="00DA1F9F">
      <w:pPr>
        <w:rPr>
          <w:rFonts w:ascii="Times New Roman" w:hAnsi="Times New Roman" w:cs="Times New Roman"/>
          <w:sz w:val="28"/>
          <w:szCs w:val="28"/>
        </w:rPr>
      </w:pPr>
      <w:proofErr w:type="gramStart"/>
      <w:r w:rsidRPr="005D08FD">
        <w:rPr>
          <w:rFonts w:ascii="Times New Roman" w:hAnsi="Times New Roman" w:cs="Times New Roman"/>
          <w:sz w:val="28"/>
          <w:szCs w:val="28"/>
        </w:rPr>
        <w:t xml:space="preserve">В наши дни, любуясь изделиями  карго-польских или  </w:t>
      </w:r>
      <w:proofErr w:type="spellStart"/>
      <w:r w:rsidRPr="005D08FD">
        <w:rPr>
          <w:rFonts w:ascii="Times New Roman" w:hAnsi="Times New Roman" w:cs="Times New Roman"/>
          <w:sz w:val="28"/>
          <w:szCs w:val="28"/>
        </w:rPr>
        <w:t>богородских</w:t>
      </w:r>
      <w:proofErr w:type="spellEnd"/>
      <w:r w:rsidRPr="005D08FD">
        <w:rPr>
          <w:rFonts w:ascii="Times New Roman" w:hAnsi="Times New Roman" w:cs="Times New Roman"/>
          <w:sz w:val="28"/>
          <w:szCs w:val="28"/>
        </w:rPr>
        <w:t xml:space="preserve">  мастеров, мало кто знает, что для людей, живших в далеком прошлом, конь являлся символом солнца, медведь - могущества и пробуждения природы, баран или корова - изобилия и плодородия, козел - добра, олень - удачного брака.</w:t>
      </w:r>
      <w:proofErr w:type="gramEnd"/>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Вышивка, воспринимаемая современными людьми только как украшение, по представлениям наших предков, защищала владельца от злых сил, а изображения птиц на тканых, керамических и деревянных изделиях должны были принести их обладателю радость и счастье.</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 xml:space="preserve">Форма и каждый элемент орнамента, украшавшего изделия народных мастеров, несли определенную информацию. </w:t>
      </w:r>
      <w:proofErr w:type="gramStart"/>
      <w:r w:rsidRPr="005D08FD">
        <w:rPr>
          <w:rFonts w:ascii="Times New Roman" w:hAnsi="Times New Roman" w:cs="Times New Roman"/>
          <w:sz w:val="28"/>
          <w:szCs w:val="28"/>
        </w:rPr>
        <w:t>Волнистая  линия  символизировала воду; две параллельные линии с расположенными между ними точками - землю и зерна; капли, наклонные линии - дождь; спираль - ход солнца; ромб - плодородие, крест - веру.</w:t>
      </w:r>
      <w:proofErr w:type="gramEnd"/>
      <w:r w:rsidRPr="005D08FD">
        <w:rPr>
          <w:rFonts w:ascii="Times New Roman" w:hAnsi="Times New Roman" w:cs="Times New Roman"/>
          <w:sz w:val="28"/>
          <w:szCs w:val="28"/>
        </w:rPr>
        <w:t xml:space="preserve">  Значение того или иного элемента узора зависело и от его цвета. Например, в росписи дымковской игрушки оранжевый круг символизировал солнце, а красный - дом.</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Ознакомление дошкольников с народным – прикладным искусством помогает решать задачи нравственного, патриотического и художественного воспитания. Педагог не только дает детям определенный объем знаний о промыслах, но и учит их видеть и понимать красоту, воспитывает уважение к труду народных мастеров, знакомит с технологией изготовления и декоративными особенностями тех или иных изделий.</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 xml:space="preserve">Начинать эту работу следует с составления перспективного плана по всем возрастным группам. При этом надо определить наличие в детском саду подлинных предметов народного искусства, учесть возможность посещения детьми выставочных залов и музеев, организации встреч с народными </w:t>
      </w:r>
      <w:r w:rsidRPr="005D08FD">
        <w:rPr>
          <w:rFonts w:ascii="Times New Roman" w:hAnsi="Times New Roman" w:cs="Times New Roman"/>
          <w:sz w:val="28"/>
          <w:szCs w:val="28"/>
        </w:rPr>
        <w:lastRenderedPageBreak/>
        <w:t>мастерами. Во многих дошкольных учреждениях педагоги оформляют мини-музеи народного творчества, русские "избы" и "горницы", где дети могут ознакомиться с изделиями разных видов декоративно-прикладного искусства.</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На базе таких мини-музеев иногда организуются изостудии и кружки народного творчества, где педагоги дополнительного образования имеют возможность познакомить детей с народными традициями и ремеслами.</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Определив, с какими видами декоративно-прикладного искусства будут знакомиться дети, старший воспитатель намечает последовательность проведения тех или иных мероприятий, продумывает связь тематики занятий, планируемых воспитателями, с работой музыкального руководителя и преподавателя изостудии. При разработке циклов занятий в разных возрастных группах следует учитывать не только возраст детей, но и уровень их знаний, умений, изобразительных навыков.</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При ознакомлении дошкольников с каким-либо народным промыслом воспитатель может использовать следующие формы работы:</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организация выставок;</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беседы по ознакомлению с искусством;</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занятия по декоративному рисованию, лепке и аппликации;</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проведение праздников и досугов.</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 xml:space="preserve">При посещении выставок дети получают некоторые сведения об истории промысла, используемых мастерами материалах, учатся выделять характерные средства выразительности (элементы узора, их типичные сочетания, колорит, композицию). При этом задача воспитателя - научить дошкольников рассматривать изделия народных мастеров так, чтобы они затем могли самостоятельно выделить средства выразительности любого другого произведения народного искусства. Для этого используется прием сравнения, который не только повышает уровень восприятия, но и подводит детей к пониманию общих закономерностей декоративного искусства, его традиций и средств выразительности. Например, в начале учебного года старшие дошкольники рассматривают фигурки птиц, сделанных дымковскими мастерами, сравнивают их, выявляя сходства и отличия. На следующем занятии воспитатель показывает им тверские глиняные игрушки, также изображающие птиц, и предлагает не только сравнить их между собой, но и сказать, чем они похожи и чем отличаются </w:t>
      </w:r>
      <w:proofErr w:type="gramStart"/>
      <w:r w:rsidRPr="005D08FD">
        <w:rPr>
          <w:rFonts w:ascii="Times New Roman" w:hAnsi="Times New Roman" w:cs="Times New Roman"/>
          <w:sz w:val="28"/>
          <w:szCs w:val="28"/>
        </w:rPr>
        <w:t>от</w:t>
      </w:r>
      <w:proofErr w:type="gramEnd"/>
      <w:r w:rsidRPr="005D08FD">
        <w:rPr>
          <w:rFonts w:ascii="Times New Roman" w:hAnsi="Times New Roman" w:cs="Times New Roman"/>
          <w:sz w:val="28"/>
          <w:szCs w:val="28"/>
        </w:rPr>
        <w:t xml:space="preserve"> дымковских.</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lastRenderedPageBreak/>
        <w:t>На занятиях по декоративному рисованию, лепке и аппликации, помогая детям овладевать некоторыми навыками и приемами, используемыми народными мастерами, воспитатель должен сам владеть ими, знать последовательность изготовления того или иного изделия, а также иметь соответствующие материалы. Например, лепить дымковскую игрушку следует только из глины, а не из пластилина. А рисовать узоры по мотивам хохломской росписи дети должны только на тонированной бумаге (желтого, красного или черного цвета) гуашевыми красками.</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Составляя узоры по мотивам какой-либо росписи, воспитатель должен учитывать и характерные для нее композиционные построения. Например, при оформлении дымковских игрушек используются композиции типа "ткани" (полосатая, клетчатая), свободное расположение элементов (по мере убывания размера),  а так же узор в круге или розетте (украшение хвоста индюка). Для растительного узора Городецкой росписи характерно объединение цветов в гирлянды (на полосе и в круге), изображение симметричных (от середины формы) и асимметричных композиций. При этом сначала художники рисуют самые крупные элементы узора - цветы, тесно прижатые друг к другу, затем в промежутках между ними - листья, решетки и травинки.</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Планируя познакомить детей с каким-либо композиционным построением, воспитатель должен не только подготовить бумагу соответствующей формы, но и показать предмет народного искусства, украшенный аналогичной композицией.</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В процессе обучения дошкольников декоративному рисованию, лепке и аппликации воспитатель может использовать следующие методы и приемы:</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создание игровой ситуации в начале занятия и во время проведения анализа детских работ;</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сравнение элементов узора и различных вариантов композиций;</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использование очерчивающего жеста (для выделения элементов, определения их расположения и последовательности выполнения узора);</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показ последовательности рисования и упражнение в изображении новых или сложных элементов узора;</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w:t>
      </w:r>
      <w:r w:rsidRPr="005D08FD">
        <w:rPr>
          <w:rFonts w:ascii="Times New Roman" w:hAnsi="Times New Roman" w:cs="Times New Roman"/>
          <w:sz w:val="28"/>
          <w:szCs w:val="28"/>
        </w:rPr>
        <w:tab/>
        <w:t>сочетание различных видов изобразительной деятельности (например, лепка с последующей росписью).</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lastRenderedPageBreak/>
        <w:t>Умение видеть на предметах каждого вида народного искусства вариативность элементов, колорита и композиции, замечать, как мастер, не выходя за пределы традиций промысла, создает каждый раз новое, неповторимое произведение, поможет детям самостоятельно выбирать сочетания элементов и композицию в зависимости от назначения и формы предмета, который они украшают.</w:t>
      </w:r>
    </w:p>
    <w:p w:rsidR="00DA1F9F"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С детьми старшего дошкольного возраста периодически могут проводиться занятия творческого характера, на которых они придумывают узоры в стиле какой-либо росписи. Например, воспитатель может предложить нарисовать эскиз ткани для платья Снежной королевы, используя мотивы Гжели; украсить кокошники в стиле дымковской росписи; изобразить букет, составленный из городецких цветов; нарисовать сказочный лес, используя элементы и колорит хохломской росписи, и т.д. Дети под руководством педагога могут выполнять роспись декораций к спектаклям настольного театра, рисовать эскизы костюмов для героев сказок, оформлять рамки для портретов и фотографий.</w:t>
      </w:r>
    </w:p>
    <w:p w:rsidR="00827B64" w:rsidRPr="005D08FD" w:rsidRDefault="00DA1F9F" w:rsidP="00DA1F9F">
      <w:pPr>
        <w:rPr>
          <w:rFonts w:ascii="Times New Roman" w:hAnsi="Times New Roman" w:cs="Times New Roman"/>
          <w:sz w:val="28"/>
          <w:szCs w:val="28"/>
        </w:rPr>
      </w:pPr>
      <w:r w:rsidRPr="005D08FD">
        <w:rPr>
          <w:rFonts w:ascii="Times New Roman" w:hAnsi="Times New Roman" w:cs="Times New Roman"/>
          <w:sz w:val="28"/>
          <w:szCs w:val="28"/>
        </w:rPr>
        <w:t>Сделать занятия по знакомству с декоративно-прикладным искусством интереснее, разнообразнее воспитателю поможет использование музыки, литературного материала, элементов театрализованной деятельности. И от того, насколько эмоционален будет педагог, как он организует эту работу, во многом зависит, сможет ли он воспитать у детей любовь к народному искусству, сформировать умение воспринимать и ценить мастерство народных умельцев.</w:t>
      </w:r>
      <w:bookmarkStart w:id="0" w:name="_GoBack"/>
      <w:bookmarkEnd w:id="0"/>
    </w:p>
    <w:sectPr w:rsidR="00827B64" w:rsidRPr="005D08FD" w:rsidSect="00827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DA1F9F"/>
    <w:rsid w:val="00132D8A"/>
    <w:rsid w:val="002A1526"/>
    <w:rsid w:val="005D08FD"/>
    <w:rsid w:val="00617CA2"/>
    <w:rsid w:val="00827B64"/>
    <w:rsid w:val="00BE122E"/>
    <w:rsid w:val="00DA1F9F"/>
    <w:rsid w:val="00EA6B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1213</Words>
  <Characters>6917</Characters>
  <Application>Microsoft Office Word</Application>
  <DocSecurity>0</DocSecurity>
  <Lines>57</Lines>
  <Paragraphs>16</Paragraphs>
  <ScaleCrop>false</ScaleCrop>
  <Company>Grizli777</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dcterms:created xsi:type="dcterms:W3CDTF">2014-02-23T14:40:00Z</dcterms:created>
  <dcterms:modified xsi:type="dcterms:W3CDTF">2015-04-26T05:21:00Z</dcterms:modified>
</cp:coreProperties>
</file>