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 ОБРАЗОВАНИЯ ГОРОДА МОСКВЫ</w:t>
      </w: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СЕВЕРО-ВОСТОЧНОЕ УПРАВЛЕНИЕ ОБРАЗОВАНИЯ</w:t>
      </w: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г. МОСКВЫ СРЕДНЯЯ ОБЩЕОБРАЗОВАТЕЛЬНАЯ ШКОЛА № 962</w:t>
      </w: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УТВЕРЖДАЮ</w:t>
      </w:r>
    </w:p>
    <w:p w:rsidR="00800F80" w:rsidRDefault="00800F80" w:rsidP="00800F8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Директор ГБОУ СОШ № 962</w:t>
      </w:r>
    </w:p>
    <w:p w:rsidR="00800F80" w:rsidRDefault="00800F80" w:rsidP="00800F80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                       Полякова Л.А.</w:t>
      </w:r>
    </w:p>
    <w:p w:rsidR="00800F80" w:rsidRDefault="00800F80" w:rsidP="00800F80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800F80" w:rsidRDefault="00800F80" w:rsidP="00800F80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         »                           2015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:rsidR="00800F80" w:rsidRDefault="00800F80" w:rsidP="00800F80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ОБРАЗОВАТЕЛЬНАЯ ПРОГРАММА </w:t>
      </w: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«Особенности Российской</w:t>
      </w:r>
      <w:r w:rsidR="00900C8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="00900C84">
        <w:rPr>
          <w:rFonts w:ascii="Times New Roman" w:eastAsia="Calibri" w:hAnsi="Times New Roman" w:cs="Times New Roman"/>
          <w:color w:val="000000"/>
          <w:sz w:val="28"/>
          <w:szCs w:val="28"/>
        </w:rPr>
        <w:t>модернизации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1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реализации: 1 год (2015-2016 учебный год)  </w:t>
      </w:r>
    </w:p>
    <w:p w:rsidR="00800F80" w:rsidRDefault="00800F80" w:rsidP="00800F80">
      <w:pPr>
        <w:spacing w:after="1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Возраст детей: 13-15 лет</w:t>
      </w:r>
    </w:p>
    <w:p w:rsidR="00800F80" w:rsidRDefault="00800F80" w:rsidP="00800F80">
      <w:pPr>
        <w:spacing w:after="1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Направленность: культурологическая</w:t>
      </w:r>
    </w:p>
    <w:p w:rsidR="00800F80" w:rsidRDefault="00800F80" w:rsidP="00800F8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Педагог дополнительного образования ГБОУ СОШ № 962</w:t>
      </w:r>
    </w:p>
    <w:p w:rsidR="00800F80" w:rsidRDefault="00800F80" w:rsidP="00800F80">
      <w:pPr>
        <w:spacing w:after="1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Николаева Марина Викторовна</w:t>
      </w:r>
    </w:p>
    <w:p w:rsidR="00800F80" w:rsidRDefault="00800F80" w:rsidP="00800F80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0F80" w:rsidRDefault="00800F80" w:rsidP="00800F8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Москва – 2015-2016</w:t>
      </w:r>
    </w:p>
    <w:p w:rsidR="00F663BB" w:rsidRPr="007503AD" w:rsidRDefault="00F663BB" w:rsidP="00F663BB">
      <w:pPr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03A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  <w:r w:rsidR="007503AD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           ...История в некотором смысле есть священная книга народов: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           главная, необходимая; зерцало их бытия и деятельности;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           скрижаль откровений и правил; завет предков к потомству;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           дополнение настоящего и пример будущего... </w:t>
      </w:r>
    </w:p>
    <w:p w:rsidR="00F663BB" w:rsidRPr="00345C00" w:rsidRDefault="00F663BB" w:rsidP="00F663BB">
      <w:pPr>
        <w:autoSpaceDE w:val="0"/>
        <w:autoSpaceDN w:val="0"/>
        <w:adjustRightInd w:val="0"/>
        <w:spacing w:after="120" w:line="24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45C00">
        <w:rPr>
          <w:rFonts w:ascii="Times New Roman" w:hAnsi="Times New Roman" w:cs="Times New Roman"/>
          <w:i/>
          <w:iCs/>
          <w:sz w:val="24"/>
          <w:szCs w:val="24"/>
        </w:rPr>
        <w:t>Н. М. Карамзин. 1815 г.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C00">
        <w:rPr>
          <w:rFonts w:ascii="Times New Roman" w:hAnsi="Times New Roman" w:cs="Times New Roman"/>
          <w:sz w:val="24"/>
          <w:szCs w:val="24"/>
        </w:rPr>
        <w:t xml:space="preserve">Чтобы полнее понять то, почему мы живем так, а не иначе, почему мы </w:t>
      </w:r>
      <w:proofErr w:type="spellStart"/>
      <w:r w:rsidRPr="00345C00">
        <w:rPr>
          <w:rFonts w:ascii="Times New Roman" w:hAnsi="Times New Roman" w:cs="Times New Roman"/>
          <w:sz w:val="24"/>
          <w:szCs w:val="24"/>
        </w:rPr>
        <w:t>евроазиаты</w:t>
      </w:r>
      <w:proofErr w:type="spellEnd"/>
      <w:r w:rsidRPr="00345C00">
        <w:rPr>
          <w:rFonts w:ascii="Times New Roman" w:hAnsi="Times New Roman" w:cs="Times New Roman"/>
          <w:sz w:val="24"/>
          <w:szCs w:val="24"/>
        </w:rPr>
        <w:t xml:space="preserve"> с самобытным, индивидуальным путем развития, что в развитии нашей страны закономерно и, повторяясь, является жизненно важным для нашего народа, в чем гордость и слава, гражданственность и гражданский долг, мало окинуть мглу веков, мы должны видеть эпоху, жизнь того времени, сопереживать её, тогда мы немного познаем историю</w:t>
      </w:r>
      <w:proofErr w:type="gramEnd"/>
      <w:r w:rsidRPr="00345C00">
        <w:rPr>
          <w:rFonts w:ascii="Times New Roman" w:hAnsi="Times New Roman" w:cs="Times New Roman"/>
          <w:sz w:val="24"/>
          <w:szCs w:val="24"/>
        </w:rPr>
        <w:t>. Нельзя прибавлять, нельзя вымышлять, необходимо точно передавать текстовые документы, учить самоанализу и сопоставлению точек зрения, воспитывать уважение к предкам, воспитывать нравственность и добродетель.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345C00">
        <w:rPr>
          <w:rFonts w:ascii="Times New Roman" w:hAnsi="Times New Roman" w:cs="Times New Roman"/>
          <w:b/>
          <w:bCs/>
          <w:sz w:val="24"/>
          <w:szCs w:val="24"/>
        </w:rPr>
        <w:t>целями</w:t>
      </w:r>
      <w:r w:rsidRPr="00345C00">
        <w:rPr>
          <w:rFonts w:ascii="Times New Roman" w:hAnsi="Times New Roman" w:cs="Times New Roman"/>
          <w:sz w:val="24"/>
          <w:szCs w:val="24"/>
        </w:rPr>
        <w:t xml:space="preserve"> курса являются: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развитие исторического мышления школьников на базе материала курса;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формирование у учеников понимания исторического прошлого в связи с тенденциями современного развития России и мира;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воспитание современного исторического сознания и развитие самостоятельного, персонифицированного мышления;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восприятие отечественных и мировых культурных традиций и ценностей прошлого в их связи с настоящим;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знакомство с основными теориями и концепциями, описывающими и объясняющими развитие общества;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формирование исторической грамотности на современном международном уровне;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развитие умения разграничивать процесс познания прошлого и процесс нравственной оценки деяний, поступков людей.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Главной прерогативой современного образования является воспитание человека активного, самостоятельного, способного принимать осмысленные решения и нести за них ответственность.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Интегрированный характер исторического образования позволяет формировать с опорой на другие школьные предметы целостную картину мира, что обеспечивает его особую мировоззренческую роль в системе профильного образования.</w:t>
      </w:r>
    </w:p>
    <w:p w:rsidR="00F663BB" w:rsidRPr="00345C00" w:rsidRDefault="00F663BB" w:rsidP="00F663BB">
      <w:pPr>
        <w:keepNext/>
        <w:autoSpaceDE w:val="0"/>
        <w:autoSpaceDN w:val="0"/>
        <w:adjustRightInd w:val="0"/>
        <w:spacing w:before="30" w:after="30" w:line="244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45C00">
        <w:rPr>
          <w:rFonts w:ascii="Times New Roman" w:hAnsi="Times New Roman" w:cs="Times New Roman"/>
          <w:b/>
          <w:bCs/>
          <w:sz w:val="24"/>
          <w:szCs w:val="24"/>
        </w:rPr>
        <w:t>Задачами курса являются: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1) повышение интереса к историческим закономерностям;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2) формирование и развитие у учащихся интеллектуальных и практических умений для более глубокого осмысления исторической действительности;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3) умение самостоятельно приобретать и применять на практике знания, полученные в ходе занятий, для определения собственной позиции в общественно-политической жизни, для решения познавательных и практических задач;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4) воспитание патриотизма и гражданственности, социальной ответственности;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Технология учебно-познавательной деятельности при изучении курса направлена на формирование позитивной мотивации с учетом возрастных особенностей учащихся, а также индивидуальных черт и свойств. Особое место здесь отводится </w:t>
      </w:r>
      <w:proofErr w:type="spellStart"/>
      <w:r w:rsidRPr="00345C00">
        <w:rPr>
          <w:rFonts w:ascii="Times New Roman" w:hAnsi="Times New Roman" w:cs="Times New Roman"/>
          <w:sz w:val="24"/>
          <w:szCs w:val="24"/>
        </w:rPr>
        <w:t>внутрипредметным</w:t>
      </w:r>
      <w:proofErr w:type="spellEnd"/>
      <w:r w:rsidRPr="00345C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45C00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345C00">
        <w:rPr>
          <w:rFonts w:ascii="Times New Roman" w:hAnsi="Times New Roman" w:cs="Times New Roman"/>
          <w:sz w:val="24"/>
          <w:szCs w:val="24"/>
        </w:rPr>
        <w:t xml:space="preserve"> связям, нацеленным на побуждение учащихся к размышлению, высказыванию личностных оценок, практическому применению полученных знаний.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Содержание программы предоставляет возможность помимо формирования  предметных умений на основе специфического исторического материала развивать у учащихся личностные умения и навыки. В ходе формирования знаний идет успешное усвоение социально-гуманитарных дисциплин, формирование понятия исторической </w:t>
      </w:r>
      <w:r w:rsidRPr="00345C00">
        <w:rPr>
          <w:rFonts w:ascii="Times New Roman" w:hAnsi="Times New Roman" w:cs="Times New Roman"/>
          <w:sz w:val="24"/>
          <w:szCs w:val="24"/>
        </w:rPr>
        <w:lastRenderedPageBreak/>
        <w:t>временной перспективы, формирование понятий, связанных с историей российской цивилизации.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В процессе обучения происходит формирование </w:t>
      </w:r>
      <w:r w:rsidRPr="00345C00">
        <w:rPr>
          <w:rFonts w:ascii="Times New Roman" w:hAnsi="Times New Roman" w:cs="Times New Roman"/>
          <w:b/>
          <w:bCs/>
          <w:sz w:val="24"/>
          <w:szCs w:val="24"/>
        </w:rPr>
        <w:t>следующих умений: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анализ и сопоставление фактов;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оформление письменных сообщений;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анализ документов;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поиск идей, оценка которых откладывается до тех пор, пока они не высказаны и не сформулированы учащимися;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поиск решения, при котором высказанные идеи подвергаются анализу, оценке;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поиск признания найденного решения окружающими;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выстраивание линий сравнения, выявление взаимосвязи между понятиями, классификация, обобщение, умение делать вывод;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умение использовать свой собственный опыт (рефлексия, абстрактная концептуализация, активное применение).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Методика работы предполагает следующие </w:t>
      </w:r>
      <w:r w:rsidRPr="00345C00">
        <w:rPr>
          <w:rFonts w:ascii="Times New Roman" w:hAnsi="Times New Roman" w:cs="Times New Roman"/>
          <w:b/>
          <w:bCs/>
          <w:sz w:val="24"/>
          <w:szCs w:val="24"/>
        </w:rPr>
        <w:t>формы и приемы работы</w:t>
      </w:r>
      <w:r w:rsidRPr="00345C00">
        <w:rPr>
          <w:rFonts w:ascii="Times New Roman" w:hAnsi="Times New Roman" w:cs="Times New Roman"/>
          <w:sz w:val="24"/>
          <w:szCs w:val="24"/>
        </w:rPr>
        <w:t>: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исследовательская работа (выявление проблемы, постановка, формулирование проблемы, пояснение неясных вопросов, формулирование гипотезы;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лекции с последующим опросом;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лекции с обсуждением документов;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беседы;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семинары;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практические занятия;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конференции;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защита проектов.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 xml:space="preserve">Все эти приемы направлены на стимулирование познавательного интереса учащихся и формирование </w:t>
      </w:r>
      <w:r w:rsidRPr="00345C00">
        <w:rPr>
          <w:rFonts w:ascii="Times New Roman" w:hAnsi="Times New Roman" w:cs="Times New Roman"/>
          <w:b/>
          <w:bCs/>
          <w:sz w:val="24"/>
          <w:szCs w:val="24"/>
        </w:rPr>
        <w:t>творческих умений и навыков</w:t>
      </w:r>
      <w:r w:rsidRPr="00345C00">
        <w:rPr>
          <w:rFonts w:ascii="Times New Roman" w:hAnsi="Times New Roman" w:cs="Times New Roman"/>
          <w:sz w:val="24"/>
          <w:szCs w:val="24"/>
        </w:rPr>
        <w:t>, таких как: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видеть проблему;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сформулировать проблему;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выдвинуть гипотезу;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составить план решения проблемы, задачи;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делать обобщения и выводы;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систематизировать материал;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составить план по теме;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делать прогноз;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анализировать свою деятельность (вычленять успешные и неудачные способы, приемы, затруднения, сравнивать результаты с целями);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оценивать свою и чужую познавательную и коммуникативную деятельность;</w:t>
      </w:r>
    </w:p>
    <w:p w:rsidR="00F663BB" w:rsidRPr="00345C00" w:rsidRDefault="00F663BB" w:rsidP="00F663BB">
      <w:pPr>
        <w:tabs>
          <w:tab w:val="left" w:pos="570"/>
          <w:tab w:val="left" w:pos="72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– использовать метафоры, аналогии, новые ассоциации и связи, развивать восприимчивость и воображение.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Так как в этом курсе используются альтернативные подходы к оценке проблем прошлого и неоднозначные этические оценки личностей и хода событий, обсуждение этих вопросов на уроках невозможно без приобретения учащимися опыта ведения диалога, дискуссии и приобщения к творческой деятельности, способности к моделированию ситуации.</w:t>
      </w:r>
    </w:p>
    <w:p w:rsidR="00F663BB" w:rsidRPr="00345C00" w:rsidRDefault="00F663BB" w:rsidP="00F663BB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Чтобы оценить образовательную деятельность учащихся, важно не только уделять внимание развернутым ответам, в которых проявляется готовность связно, образно излагать факты, формировать собственное отношение, оценки персонажей и фактов.</w:t>
      </w:r>
    </w:p>
    <w:p w:rsidR="00F663BB" w:rsidRPr="00345C00" w:rsidRDefault="00F663BB" w:rsidP="00F663BB">
      <w:pPr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hAnsi="Times New Roman" w:cs="Times New Roman"/>
          <w:sz w:val="24"/>
          <w:szCs w:val="24"/>
        </w:rPr>
        <w:t>Курс рассчитан  на 36 часов (1 раз в неделю)</w:t>
      </w:r>
    </w:p>
    <w:p w:rsidR="00F663BB" w:rsidRPr="00345C00" w:rsidRDefault="00F663BB" w:rsidP="00F663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Результаты реализации</w:t>
      </w:r>
      <w:r w:rsidRPr="00345C00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345C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63BB" w:rsidRPr="00345C00" w:rsidRDefault="00F663BB" w:rsidP="00F663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- у</w:t>
      </w:r>
      <w:r w:rsidRPr="00345C00">
        <w:rPr>
          <w:rFonts w:ascii="Times New Roman" w:hAnsi="Times New Roman" w:cs="Times New Roman"/>
          <w:sz w:val="24"/>
          <w:szCs w:val="24"/>
        </w:rPr>
        <w:t>частие в окружных научно-</w:t>
      </w:r>
      <w:r w:rsidRPr="00345C00">
        <w:rPr>
          <w:rFonts w:ascii="Times New Roman" w:eastAsia="Calibri" w:hAnsi="Times New Roman" w:cs="Times New Roman"/>
          <w:sz w:val="24"/>
          <w:szCs w:val="24"/>
        </w:rPr>
        <w:t>практических конференциях;</w:t>
      </w:r>
    </w:p>
    <w:p w:rsidR="00F663BB" w:rsidRPr="00345C00" w:rsidRDefault="00F663BB" w:rsidP="00F66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- создание информационных и исследовательских проектных работ.</w:t>
      </w:r>
    </w:p>
    <w:p w:rsidR="00F663BB" w:rsidRPr="007503AD" w:rsidRDefault="00F663BB" w:rsidP="00750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3BB" w:rsidRDefault="007503AD" w:rsidP="00750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3A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ПЛАНИРОВАНИЕ:</w:t>
      </w:r>
    </w:p>
    <w:p w:rsidR="007503AD" w:rsidRPr="007503AD" w:rsidRDefault="007503AD" w:rsidP="00750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6"/>
        <w:gridCol w:w="1408"/>
        <w:gridCol w:w="1409"/>
        <w:gridCol w:w="1409"/>
        <w:gridCol w:w="1409"/>
      </w:tblGrid>
      <w:tr w:rsidR="00F663BB" w:rsidTr="007D1452">
        <w:tc>
          <w:tcPr>
            <w:tcW w:w="3936" w:type="dxa"/>
          </w:tcPr>
          <w:p w:rsidR="00F663BB" w:rsidRPr="007D1452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08" w:type="dxa"/>
          </w:tcPr>
          <w:p w:rsidR="00F663BB" w:rsidRPr="007D1452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5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9" w:type="dxa"/>
          </w:tcPr>
          <w:p w:rsidR="00F663BB" w:rsidRPr="007D1452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5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09" w:type="dxa"/>
          </w:tcPr>
          <w:p w:rsidR="00F663BB" w:rsidRPr="007D1452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5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09" w:type="dxa"/>
          </w:tcPr>
          <w:p w:rsidR="00F663BB" w:rsidRPr="007D1452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5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F663BB" w:rsidTr="007D1452">
        <w:tc>
          <w:tcPr>
            <w:tcW w:w="3936" w:type="dxa"/>
          </w:tcPr>
          <w:p w:rsidR="00F663BB" w:rsidRPr="007D1452" w:rsidRDefault="00F663BB" w:rsidP="00F663BB">
            <w:pPr>
              <w:rPr>
                <w:sz w:val="28"/>
                <w:szCs w:val="28"/>
              </w:rPr>
            </w:pPr>
            <w:r w:rsidRPr="007D1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63BB">
              <w:rPr>
                <w:rFonts w:ascii="Times New Roman" w:eastAsia="Calibri" w:hAnsi="Times New Roman" w:cs="Times New Roman"/>
                <w:sz w:val="24"/>
                <w:szCs w:val="24"/>
              </w:rPr>
              <w:t>Начало модернизации Российского      общества</w:t>
            </w:r>
          </w:p>
        </w:tc>
        <w:tc>
          <w:tcPr>
            <w:tcW w:w="1408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3BB" w:rsidTr="007D1452">
        <w:tc>
          <w:tcPr>
            <w:tcW w:w="3936" w:type="dxa"/>
          </w:tcPr>
          <w:p w:rsidR="00F663BB" w:rsidRPr="007D1452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4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1452">
              <w:rPr>
                <w:rFonts w:ascii="Times New Roman" w:eastAsia="Calibri" w:hAnsi="Times New Roman" w:cs="Times New Roman"/>
                <w:sz w:val="24"/>
                <w:szCs w:val="24"/>
              </w:rPr>
              <w:t>Колебание между модернизацией и укоренением традиционности общества.(</w:t>
            </w:r>
            <w:r w:rsidRPr="007D14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7D1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45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D1452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08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3BB" w:rsidTr="007D1452">
        <w:tc>
          <w:tcPr>
            <w:tcW w:w="3936" w:type="dxa"/>
          </w:tcPr>
          <w:p w:rsidR="00F663BB" w:rsidRDefault="007D1452" w:rsidP="007D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D1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 </w:t>
            </w:r>
            <w:r w:rsidRPr="007D14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D1452">
              <w:rPr>
                <w:rFonts w:ascii="Times New Roman" w:eastAsia="Calibri" w:hAnsi="Times New Roman" w:cs="Times New Roman"/>
                <w:sz w:val="24"/>
                <w:szCs w:val="24"/>
              </w:rPr>
              <w:t>. Противостояние либеральных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идеалов и имперского сознания</w:t>
            </w:r>
          </w:p>
        </w:tc>
        <w:tc>
          <w:tcPr>
            <w:tcW w:w="1408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663BB" w:rsidRPr="00345C00" w:rsidRDefault="00F663BB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452" w:rsidTr="007D1452">
        <w:tc>
          <w:tcPr>
            <w:tcW w:w="3936" w:type="dxa"/>
          </w:tcPr>
          <w:p w:rsidR="007D1452" w:rsidRPr="007D1452" w:rsidRDefault="007D1452" w:rsidP="007D1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4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1452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Николаевская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сия. Поворот к традиционализму</w:t>
            </w:r>
          </w:p>
          <w:p w:rsidR="007D1452" w:rsidRPr="007D1452" w:rsidRDefault="007D1452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7D1452" w:rsidRPr="00345C00" w:rsidRDefault="007D1452" w:rsidP="00F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1452" w:rsidTr="007D1452">
        <w:tc>
          <w:tcPr>
            <w:tcW w:w="3936" w:type="dxa"/>
          </w:tcPr>
          <w:p w:rsidR="007D1452" w:rsidRPr="00345C00" w:rsidRDefault="00345C00" w:rsidP="007D14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1452" w:rsidRPr="00345C00">
              <w:rPr>
                <w:rFonts w:ascii="Times New Roman" w:eastAsia="Calibri" w:hAnsi="Times New Roman" w:cs="Times New Roman"/>
                <w:sz w:val="24"/>
                <w:szCs w:val="24"/>
              </w:rPr>
              <w:t>. Россия в годы либеральных реформ и пореформенный период</w:t>
            </w:r>
          </w:p>
          <w:p w:rsidR="007D1452" w:rsidRPr="007D1452" w:rsidRDefault="007D1452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00" w:rsidRPr="00345C00" w:rsidRDefault="00345C00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7D1452" w:rsidRPr="00345C00" w:rsidRDefault="007D1452" w:rsidP="00F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C00" w:rsidRPr="00345C00" w:rsidRDefault="00345C00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00" w:rsidRPr="00345C00" w:rsidRDefault="00345C00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7D1452" w:rsidRPr="00345C00" w:rsidRDefault="007D1452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00" w:rsidRPr="00345C00" w:rsidRDefault="00345C00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C00" w:rsidTr="007D1452">
        <w:tc>
          <w:tcPr>
            <w:tcW w:w="3936" w:type="dxa"/>
          </w:tcPr>
          <w:p w:rsidR="00345C00" w:rsidRPr="00345C00" w:rsidRDefault="00345C00" w:rsidP="007D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408" w:type="dxa"/>
          </w:tcPr>
          <w:p w:rsidR="00345C00" w:rsidRPr="00345C00" w:rsidRDefault="00345C00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45C00" w:rsidRPr="00345C00" w:rsidRDefault="00345C00" w:rsidP="00F6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345C00" w:rsidRPr="00345C00" w:rsidRDefault="00345C00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345C00" w:rsidRPr="00345C00" w:rsidRDefault="00345C00" w:rsidP="00F6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C00" w:rsidRDefault="00345C00" w:rsidP="00F66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3AD" w:rsidRPr="007503AD" w:rsidRDefault="007503AD" w:rsidP="00750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3AD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45C00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345C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45C00">
        <w:rPr>
          <w:rFonts w:ascii="Times New Roman" w:eastAsia="Calibri" w:hAnsi="Times New Roman" w:cs="Times New Roman"/>
          <w:b/>
          <w:sz w:val="24"/>
          <w:szCs w:val="24"/>
        </w:rPr>
        <w:t>. Начало модернизации Российского      общества: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1,2: Предпосылки. Россия накануне реформ Петра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3,4,5,6: Ускорение процессов модернизации и их результаты. Европеизация России как ценность. Особенности модернизации  политической системы: идея «Регулярного государства» и тема «Общественного блага». Модернизация экономики. Развитие дворянской культуры и культурный раскол общества.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7,8: Внешнеполитические успехи Петра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 и противоречия процесса модернизации.</w:t>
      </w:r>
    </w:p>
    <w:p w:rsidR="00345C00" w:rsidRPr="00345C00" w:rsidRDefault="00345C00" w:rsidP="0034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9: Определение роли Петра I в истории</w:t>
      </w:r>
    </w:p>
    <w:p w:rsidR="00345C00" w:rsidRPr="00345C00" w:rsidRDefault="00345C00" w:rsidP="0034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5C00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345C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45C00">
        <w:rPr>
          <w:rFonts w:ascii="Times New Roman" w:eastAsia="Calibri" w:hAnsi="Times New Roman" w:cs="Times New Roman"/>
          <w:b/>
          <w:sz w:val="24"/>
          <w:szCs w:val="24"/>
        </w:rPr>
        <w:t>. Колебание между модернизаци</w:t>
      </w:r>
      <w:r w:rsidRPr="00345C00">
        <w:rPr>
          <w:rFonts w:ascii="Times New Roman" w:hAnsi="Times New Roman" w:cs="Times New Roman"/>
          <w:b/>
          <w:sz w:val="24"/>
          <w:szCs w:val="24"/>
        </w:rPr>
        <w:t xml:space="preserve">ей и укоренением </w:t>
      </w:r>
      <w:r w:rsidR="00F4209E">
        <w:rPr>
          <w:rFonts w:ascii="Times New Roman" w:hAnsi="Times New Roman" w:cs="Times New Roman"/>
          <w:b/>
          <w:sz w:val="24"/>
          <w:szCs w:val="24"/>
        </w:rPr>
        <w:t>традиционн</w:t>
      </w:r>
      <w:r w:rsidRPr="00345C00">
        <w:rPr>
          <w:rFonts w:ascii="Times New Roman" w:hAnsi="Times New Roman" w:cs="Times New Roman"/>
          <w:b/>
          <w:sz w:val="24"/>
          <w:szCs w:val="24"/>
        </w:rPr>
        <w:t>ости</w:t>
      </w:r>
      <w:r w:rsidR="00F4209E" w:rsidRPr="00F42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C00">
        <w:rPr>
          <w:rFonts w:ascii="Times New Roman" w:eastAsia="Calibri" w:hAnsi="Times New Roman" w:cs="Times New Roman"/>
          <w:b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1,2: Эпоха женщин – императриц и ее социально – экономические последствия. Феномен «дворцовых переворотов»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3,4: Влияние идеалов либерализма. 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Екатерина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.Крестьянская война под руководством Пугачева. Дворянская реакция. 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5,6: Превращение России в великую европейскую державу и становление имперского самосознания. </w:t>
      </w:r>
    </w:p>
    <w:p w:rsidR="00BE4BF5" w:rsidRDefault="00345C00" w:rsidP="0034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7: Оценка роли Екатерины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45C00">
        <w:rPr>
          <w:rFonts w:ascii="Times New Roman" w:eastAsia="Calibri" w:hAnsi="Times New Roman" w:cs="Times New Roman"/>
          <w:sz w:val="24"/>
          <w:szCs w:val="24"/>
        </w:rPr>
        <w:t>: Попытка указами сверху изменить традиционную Россию?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45C00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345C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345C00">
        <w:rPr>
          <w:rFonts w:ascii="Times New Roman" w:eastAsia="Calibri" w:hAnsi="Times New Roman" w:cs="Times New Roman"/>
          <w:b/>
          <w:sz w:val="24"/>
          <w:szCs w:val="24"/>
        </w:rPr>
        <w:t xml:space="preserve">. Александр </w:t>
      </w:r>
      <w:r w:rsidRPr="00345C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45C00">
        <w:rPr>
          <w:rFonts w:ascii="Times New Roman" w:eastAsia="Calibri" w:hAnsi="Times New Roman" w:cs="Times New Roman"/>
          <w:b/>
          <w:sz w:val="24"/>
          <w:szCs w:val="24"/>
        </w:rPr>
        <w:t xml:space="preserve">. Противостояние либеральных идеалов и имперского сознания: 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1,2: Либеральные идеалы и либеральные преобразования. 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3, 4: Консервативный период царствования Александра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45C00">
        <w:rPr>
          <w:rFonts w:ascii="Times New Roman" w:eastAsia="Calibri" w:hAnsi="Times New Roman" w:cs="Times New Roman"/>
          <w:sz w:val="24"/>
          <w:szCs w:val="24"/>
        </w:rPr>
        <w:t>. Раскол между образованным обществом и властью.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5: Война с наполеоновской Францией и ее влияние на российское общество.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6: Правление Александра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45C00">
        <w:rPr>
          <w:rFonts w:ascii="Times New Roman" w:eastAsia="Calibri" w:hAnsi="Times New Roman" w:cs="Times New Roman"/>
          <w:sz w:val="24"/>
          <w:szCs w:val="24"/>
        </w:rPr>
        <w:t>: Реформы и реакция. Дискуссия.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45C00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345C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345C00">
        <w:rPr>
          <w:rFonts w:ascii="Times New Roman" w:eastAsia="Calibri" w:hAnsi="Times New Roman" w:cs="Times New Roman"/>
          <w:b/>
          <w:sz w:val="24"/>
          <w:szCs w:val="24"/>
        </w:rPr>
        <w:t xml:space="preserve">. Николаевская Россия. Поворот к традиционализму: 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1,2: Идеалы и политика консерватизма.  «Государственный феодализм»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lastRenderedPageBreak/>
        <w:t>3,4: Взаимодействие европейской и русской культуры. Проблема исторической самобытности России.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5: Внешнеполитическое противостояние России и Европы. Крымская война.</w:t>
      </w:r>
    </w:p>
    <w:p w:rsidR="00345C00" w:rsidRDefault="00345C00" w:rsidP="00345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6: Николаевская Россия: Консерватизм, опиравшийся на традиционализм или порядок, наилучшим образом соответствующий интересам и характеру русского народа?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45C00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345C0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345C00">
        <w:rPr>
          <w:rFonts w:ascii="Times New Roman" w:eastAsia="Calibri" w:hAnsi="Times New Roman" w:cs="Times New Roman"/>
          <w:b/>
          <w:sz w:val="24"/>
          <w:szCs w:val="24"/>
        </w:rPr>
        <w:t xml:space="preserve">. Россия в годы либеральных реформ и пореформенный период: 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1,2,3: Смена варианта взаимодействия с Европой. Либеральные реформы 60-70 </w:t>
      </w:r>
      <w:proofErr w:type="spellStart"/>
      <w:r w:rsidRPr="00345C00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 в. и их противоречия.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4,5: Социально – экономическое развитие России в пореформенный период: Ростки нового и пережитки старого. ( Тенденции буржуазного развития России).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6,7: Кризис ценностей модернизации и попытки его разрешения в России. Революционное движение в пореформенной России.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8: Итоги правления Александра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45C00">
        <w:rPr>
          <w:rFonts w:ascii="Times New Roman" w:eastAsia="Calibri" w:hAnsi="Times New Roman" w:cs="Times New Roman"/>
          <w:sz w:val="24"/>
          <w:szCs w:val="24"/>
        </w:rPr>
        <w:t>. Оценки. Мнения.</w:t>
      </w:r>
    </w:p>
    <w:p w:rsidR="00345C00" w:rsidRPr="00345C00" w:rsidRDefault="00345C00" w:rsidP="00345C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45C00" w:rsidRPr="00345C00" w:rsidRDefault="00345C00" w:rsidP="0081055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Анисимов, Е. В. Время петровских реформ. – Л., 1989. 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5C00">
        <w:rPr>
          <w:rFonts w:ascii="Times New Roman" w:eastAsia="Calibri" w:hAnsi="Times New Roman" w:cs="Times New Roman"/>
          <w:sz w:val="24"/>
          <w:szCs w:val="24"/>
        </w:rPr>
        <w:t>Астольф</w:t>
      </w:r>
      <w:proofErr w:type="spellEnd"/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 де </w:t>
      </w:r>
      <w:proofErr w:type="spellStart"/>
      <w:r w:rsidRPr="00345C00">
        <w:rPr>
          <w:rFonts w:ascii="Times New Roman" w:eastAsia="Calibri" w:hAnsi="Times New Roman" w:cs="Times New Roman"/>
          <w:sz w:val="24"/>
          <w:szCs w:val="24"/>
        </w:rPr>
        <w:t>Кюстин</w:t>
      </w:r>
      <w:proofErr w:type="spellEnd"/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 Николаевская Россия</w:t>
      </w:r>
      <w:proofErr w:type="gramStart"/>
      <w:r w:rsidRPr="00345C00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345C00">
        <w:rPr>
          <w:rFonts w:ascii="Times New Roman" w:eastAsia="Calibri" w:hAnsi="Times New Roman" w:cs="Times New Roman"/>
          <w:sz w:val="24"/>
          <w:szCs w:val="24"/>
        </w:rPr>
        <w:t>.,1990.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Захарова, Л. Г. Александр II // Вопросы истории. – 1992. – № 6–7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5C00">
        <w:rPr>
          <w:rFonts w:ascii="Times New Roman" w:eastAsia="Calibri" w:hAnsi="Times New Roman" w:cs="Times New Roman"/>
          <w:sz w:val="24"/>
          <w:szCs w:val="24"/>
        </w:rPr>
        <w:t>Заичкин</w:t>
      </w:r>
      <w:proofErr w:type="spellEnd"/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 И.А., </w:t>
      </w:r>
      <w:proofErr w:type="spellStart"/>
      <w:r w:rsidRPr="00345C00">
        <w:rPr>
          <w:rFonts w:ascii="Times New Roman" w:eastAsia="Calibri" w:hAnsi="Times New Roman" w:cs="Times New Roman"/>
          <w:sz w:val="24"/>
          <w:szCs w:val="24"/>
        </w:rPr>
        <w:t>Почкаев</w:t>
      </w:r>
      <w:proofErr w:type="spellEnd"/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 И.Н. Русская история от Екатерины Великой до Александра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45C00">
        <w:rPr>
          <w:rFonts w:ascii="Times New Roman" w:eastAsia="Calibri" w:hAnsi="Times New Roman" w:cs="Times New Roman"/>
          <w:sz w:val="24"/>
          <w:szCs w:val="24"/>
        </w:rPr>
        <w:t>.М.,1994.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Ионов И.Н. Российская цивилизация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 – начало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 века. М., 1995.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Кара-Мурза А.А., Поляков Л.В.Реформатор. Русские о Петре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45C00">
        <w:rPr>
          <w:rFonts w:ascii="Times New Roman" w:eastAsia="Calibri" w:hAnsi="Times New Roman" w:cs="Times New Roman"/>
          <w:sz w:val="24"/>
          <w:szCs w:val="24"/>
        </w:rPr>
        <w:t>. М., 1994.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Карамзин Н.М.История государства Российского. М.,1990.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Ключевский В.О. Курс русской истории. М., 1991.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Павленко, Н. И. Петр Великий.  М., 1990.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Павленко Н.И. Птенцы гнезда петрова. М.,1987.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Платонов С. Ф. Лекции по русской истории.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 xml:space="preserve">Россия первой половины </w:t>
      </w:r>
      <w:r w:rsidRPr="00345C00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proofErr w:type="gramStart"/>
      <w:r w:rsidRPr="00345C0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45C00">
        <w:rPr>
          <w:rFonts w:ascii="Times New Roman" w:eastAsia="Calibri" w:hAnsi="Times New Roman" w:cs="Times New Roman"/>
          <w:sz w:val="24"/>
          <w:szCs w:val="24"/>
        </w:rPr>
        <w:t>. Глазами иностранцев. Л.,1991.</w:t>
      </w:r>
    </w:p>
    <w:p w:rsidR="00345C00" w:rsidRP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Соловьев С.М.История России с древнейших времен.</w:t>
      </w:r>
    </w:p>
    <w:p w:rsidR="00345C00" w:rsidRDefault="00345C00" w:rsidP="00345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C00">
        <w:rPr>
          <w:rFonts w:ascii="Times New Roman" w:eastAsia="Calibri" w:hAnsi="Times New Roman" w:cs="Times New Roman"/>
          <w:sz w:val="24"/>
          <w:szCs w:val="24"/>
        </w:rPr>
        <w:t>Тарле Е.В.1812год.М.1994</w:t>
      </w:r>
    </w:p>
    <w:p w:rsidR="007503AD" w:rsidRPr="00345C00" w:rsidRDefault="007503AD" w:rsidP="007503A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503AD" w:rsidRPr="007503AD" w:rsidRDefault="007503AD" w:rsidP="007503AD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7503AD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ИНТЕРНЕТ РЕСУРСЫ:</w:t>
      </w:r>
    </w:p>
    <w:p w:rsidR="007503AD" w:rsidRDefault="007503AD" w:rsidP="007503AD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345C00" w:rsidRDefault="007503AD" w:rsidP="00345C00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История России. Всемирная история </w:t>
      </w:r>
      <w:hyperlink r:id="rId5" w:history="1">
        <w:r w:rsidR="0081055B" w:rsidRPr="0078569C">
          <w:rPr>
            <w:rStyle w:val="a5"/>
            <w:rFonts w:ascii="Times New Roman" w:hAnsi="Times New Roman" w:cs="Times New Roman"/>
            <w:sz w:val="24"/>
            <w:szCs w:val="24"/>
          </w:rPr>
          <w:t>http://www.istorya.ru/</w:t>
        </w:r>
      </w:hyperlink>
    </w:p>
    <w:p w:rsidR="0081055B" w:rsidRDefault="007503AD" w:rsidP="00345C00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Академический кабинет. Интернет-ресурсы по истории России </w:t>
      </w:r>
      <w:r w:rsidR="0081055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</w:t>
      </w:r>
      <w:hyperlink r:id="rId6" w:history="1">
        <w:r w:rsidR="0081055B" w:rsidRPr="0078569C">
          <w:rPr>
            <w:rStyle w:val="a5"/>
            <w:rFonts w:ascii="Times New Roman" w:hAnsi="Times New Roman" w:cs="Times New Roman"/>
            <w:sz w:val="24"/>
            <w:szCs w:val="24"/>
          </w:rPr>
          <w:t>http://www.netcabinet.ru/materials/48</w:t>
        </w:r>
      </w:hyperlink>
    </w:p>
    <w:p w:rsidR="0081055B" w:rsidRPr="007503AD" w:rsidRDefault="0081055B" w:rsidP="00750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3AD">
        <w:rPr>
          <w:rFonts w:ascii="Times New Roman" w:hAnsi="Times New Roman" w:cs="Times New Roman"/>
          <w:sz w:val="24"/>
          <w:szCs w:val="24"/>
        </w:rPr>
        <w:t xml:space="preserve">Материалы для изучения русской истории </w:t>
      </w:r>
      <w:hyperlink r:id="rId7" w:history="1">
        <w:r w:rsidRPr="007503AD">
          <w:rPr>
            <w:rStyle w:val="a5"/>
            <w:rFonts w:ascii="Times New Roman" w:hAnsi="Times New Roman" w:cs="Times New Roman"/>
            <w:sz w:val="24"/>
            <w:szCs w:val="24"/>
          </w:rPr>
          <w:t>http://www.magister.msk.ru/library/history/</w:t>
        </w:r>
      </w:hyperlink>
      <w:r w:rsidRPr="007503AD">
        <w:rPr>
          <w:rFonts w:ascii="Times New Roman" w:hAnsi="Times New Roman" w:cs="Times New Roman"/>
          <w:sz w:val="24"/>
          <w:szCs w:val="24"/>
        </w:rPr>
        <w:t> </w:t>
      </w:r>
    </w:p>
    <w:p w:rsidR="0081055B" w:rsidRPr="007503AD" w:rsidRDefault="0081055B" w:rsidP="00750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3AD">
        <w:rPr>
          <w:rFonts w:ascii="Times New Roman" w:hAnsi="Times New Roman" w:cs="Times New Roman"/>
          <w:sz w:val="24"/>
          <w:szCs w:val="24"/>
        </w:rPr>
        <w:t xml:space="preserve">Энциклопедия истории России </w:t>
      </w:r>
      <w:hyperlink r:id="rId8" w:history="1">
        <w:r w:rsidRPr="007503AD">
          <w:rPr>
            <w:rStyle w:val="a5"/>
            <w:rFonts w:ascii="Times New Roman" w:hAnsi="Times New Roman" w:cs="Times New Roman"/>
            <w:sz w:val="24"/>
            <w:szCs w:val="24"/>
          </w:rPr>
          <w:t>http://www.encyclopaedia-russia.ru/</w:t>
        </w:r>
      </w:hyperlink>
    </w:p>
    <w:p w:rsidR="007503AD" w:rsidRPr="007503AD" w:rsidRDefault="007503AD" w:rsidP="00750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3AD">
        <w:rPr>
          <w:rFonts w:ascii="Times New Roman" w:hAnsi="Times New Roman" w:cs="Times New Roman"/>
          <w:sz w:val="24"/>
          <w:szCs w:val="24"/>
        </w:rPr>
        <w:t>Архивные справочники на сайте «Архивы России  </w:t>
      </w:r>
      <w:hyperlink r:id="rId9" w:anchor="2" w:history="1">
        <w:r w:rsidRPr="007503AD">
          <w:rPr>
            <w:rStyle w:val="a5"/>
            <w:rFonts w:ascii="Times New Roman" w:hAnsi="Times New Roman" w:cs="Times New Roman"/>
            <w:sz w:val="24"/>
            <w:szCs w:val="24"/>
          </w:rPr>
          <w:t>http://www.rusarchives.ru/guide/index_old.shtml#2</w:t>
        </w:r>
      </w:hyperlink>
    </w:p>
    <w:p w:rsidR="007503AD" w:rsidRPr="007503AD" w:rsidRDefault="007503AD" w:rsidP="00750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3AD">
        <w:rPr>
          <w:rFonts w:ascii="Times New Roman" w:hAnsi="Times New Roman" w:cs="Times New Roman"/>
          <w:sz w:val="24"/>
          <w:szCs w:val="24"/>
        </w:rPr>
        <w:t xml:space="preserve"> Хрестоматия документов по российской истории </w:t>
      </w:r>
      <w:hyperlink r:id="rId10" w:history="1">
        <w:r w:rsidRPr="007503AD">
          <w:rPr>
            <w:rStyle w:val="a5"/>
            <w:rFonts w:ascii="Times New Roman" w:hAnsi="Times New Roman" w:cs="Times New Roman"/>
            <w:sz w:val="24"/>
            <w:szCs w:val="24"/>
          </w:rPr>
          <w:t>http://his95.narod.ru/doc00.htm</w:t>
        </w:r>
      </w:hyperlink>
      <w:r w:rsidRPr="00750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55B" w:rsidRPr="007503AD" w:rsidRDefault="0081055B" w:rsidP="007503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055B" w:rsidRPr="007503AD" w:rsidSect="00BE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2E6F"/>
    <w:multiLevelType w:val="hybridMultilevel"/>
    <w:tmpl w:val="3A927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663BB"/>
    <w:rsid w:val="000B67B1"/>
    <w:rsid w:val="0033705E"/>
    <w:rsid w:val="00345C00"/>
    <w:rsid w:val="007503AD"/>
    <w:rsid w:val="007D1452"/>
    <w:rsid w:val="00800F80"/>
    <w:rsid w:val="0081055B"/>
    <w:rsid w:val="00900C84"/>
    <w:rsid w:val="00BE4BF5"/>
    <w:rsid w:val="00F4209E"/>
    <w:rsid w:val="00F663BB"/>
    <w:rsid w:val="00FA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1055B"/>
    <w:rPr>
      <w:i/>
      <w:iCs/>
    </w:rPr>
  </w:style>
  <w:style w:type="character" w:styleId="a5">
    <w:name w:val="Hyperlink"/>
    <w:basedOn w:val="a0"/>
    <w:uiPriority w:val="99"/>
    <w:unhideWhenUsed/>
    <w:rsid w:val="0081055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503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03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9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clopaedia-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gister.msk.ru/library/histo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tcabinet.ru/materials/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storya.ru/" TargetMode="External"/><Relationship Id="rId10" Type="http://schemas.openxmlformats.org/officeDocument/2006/relationships/hyperlink" Target="http://his95.narod.ru/doc0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archives.ru/guide/index_old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Николаева</dc:creator>
  <cp:lastModifiedBy>Марина Николаева</cp:lastModifiedBy>
  <cp:revision>4</cp:revision>
  <dcterms:created xsi:type="dcterms:W3CDTF">2015-09-10T07:28:00Z</dcterms:created>
  <dcterms:modified xsi:type="dcterms:W3CDTF">2015-09-13T06:25:00Z</dcterms:modified>
</cp:coreProperties>
</file>