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4" w:rsidRPr="00F900A4" w:rsidRDefault="00F900A4" w:rsidP="00F90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Материал с сайта </w:t>
      </w:r>
      <w:hyperlink r:id="rId4" w:history="1"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holocf</w:t>
        </w:r>
        <w:proofErr w:type="spellEnd"/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pages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/72?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print</w:t>
        </w:r>
        <w:r w:rsidRPr="00F900A4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=1</w:t>
        </w:r>
      </w:hyperlink>
    </w:p>
    <w:p w:rsidR="00F900A4" w:rsidRPr="00F900A4" w:rsidRDefault="00F900A4" w:rsidP="00F90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F900A4" w:rsidRPr="00F900A4" w:rsidRDefault="00F900A4" w:rsidP="00F90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Историческая справка</w:t>
      </w:r>
    </w:p>
    <w:p w:rsidR="00F900A4" w:rsidRPr="00F900A4" w:rsidRDefault="00F900A4" w:rsidP="00F900A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 А. Альтман</w:t>
      </w:r>
    </w:p>
    <w:p w:rsidR="00F900A4" w:rsidRPr="00F900A4" w:rsidRDefault="00F900A4" w:rsidP="00F900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ХОЛОКОСТА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Краткий обзор</w:t>
      </w:r>
    </w:p>
    <w:p w:rsidR="00F900A4" w:rsidRPr="00F900A4" w:rsidRDefault="00F900A4" w:rsidP="00F900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Антиеврейская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политика нацистской Германии (1933-39 гг.)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Антисемитская идеология была положена в основу программы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Национал-социалистиче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партии Германии (NSDAP), принятой в 1920, и обоснована в книге Гитлера «Моя борьба». После прихода к власти в январе 1933 Гитлер проводит последовательную политику государственного антисемитизма. Ее первой жертвой стала еврейская община Германии, насчитывавшая более 500 тыс. человек. «Окончательное решение» (от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Endlosung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еврейского вопроса в Германии, а позднее в оккупированных нацистами государствах предполагало несколько этапов. Первый из них (1933-39) состоял в принуждении евреев к эмиграции посредством мер законодательного характера, а также пропагандистских, экономических и физических акций против еврейского населения Германии.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апреля 1933 нацисты организовали по всей стране «бойкот еврейских магазинов и товаров». Спустя 10 дней был принят Декрет, определяющий статус «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неарийца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который был присвоен евреям. Они изгонялись с государственной службы, из школ и университетов, медицинских учреждений, средств массовой информации, армии и судебных учреждений. Нацистская пропаганда небезуспешно создавала из евреев образ «внутреннего и внешнего врага», виновного во всех бедах страны. 10 мая 1933 в Берлине состоялось массовое сожжение книг, написанных «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неарийцами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Принятые в сентябре 1935 на съезде нацистской партии в Нюрнберге законы «О гражданах рейха» и «Защите немецкой чести и немецкой крови», а также принятые два месяца спустя поправки к ним юридически оформили лишение евреев Германии всех политических и гражданских прав. Последующие законодательные акты принудительно обязывали евреев владельцев предприятий и фирм передать их «арийцам». Мужчинам и женщинам с нееврейскими именами предписывалось вписать в паспорта «Израиль» или «Сара» (впоследствии также букву «J»,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Jude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еврей). После аншлюса Австрии создается специальное бюро для «добровольной эмиграции евреев» во главе с начальником «еврейского отдела» Управления Имперской безопасности Рейха (РСХА) К.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Эйхманом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Состоявшаяся 5 июля 1938 во французском городе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Эвиан-ле-Бен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международная конференция по проблемам еврейских беженцев показала, что ни одна страна Запада не готова принять евреев Германии. Символом равнодушия к их судьбе стал пароход «Сент-Луис» с еврейскими беженцами на борту, не допущенный в территориальные воды сначала Кубы, а затем США.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ноябре 1938 мир был потрясен событиями «Хрустальной ночи», организованными гестапо в ответ на убийство в Париже немецкого дипломата, совершенное после насильственной депортации в Польшу 15 тыс. евреев. В ночь с 9 на 10 ноября были сожжены или разрушены все 1400 синагог Германии, разграблены еврейские дома, 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магазины, школы. 91 еврей был убит, несколько тысяч ранены, десятки тысяч отправлены в концентрационные лагеря. На еврейскую общину Германии была наложена контрибуция в 1 млрд. марок «за причиненный ущерб». 24 января 1939 Геринг издал распоряжение «О неотложных мерах по ускорению еврейской эмиграции из Германии». В целом накануне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торой мировой войны Германию покинуло свыше 300 тысяч евреев. Более быстрым темпам эмиграции препятствовали высокая степень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ассимилированности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немецких евреев, невозможность массового выезда не только на территорию Палестины, находившейся под мандатом Великобритании и незаинтересованной в еврейских переселенцах, но и в другие государства мира.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«Окончательное решение» еврейского вопроса в Европе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захвата Польши под контролем нацистов оказалось более 2 млн. евреев этой страны. 21 сентября 1939 был издан приказ шефа РСХА Р.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Гейдриха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создании специальных еврейских кварталов (гетто) в городах вблизи крупных железнодорожных станций. Туда же переселялись евреи из прилегающей сельской местности. Первое гетто было создано в г.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Петроков-Трибунальский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октябре 1939. Самое крупное гетто Европы находилось в Варшаве (создано в конце 1940). Здесь 500 тысяч евреев треть населения города были размещены на улицах, составлявших не более 4,5 % территории Варшавы. Недостаток продовольствия, болезни и эпидемии, непосильный труд вели к огромной смертности. Однако такие темпы уничтожения евреев не устраивали нацистов. На проведенной 20 января 1942 в пригороде Берлина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Ван-Зее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конференции, подготовленной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Гейдрихом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Эйхманом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был вынесен смертный приговор 11 млн. евреям 33 стран Европы. Для их уничтожения на территории Польши (в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Хелмно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Собиборе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Майданеке, Треблинке,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Белжеце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Освенциме) создавалось 6 лагерей смерти. Главным из них (с использованием газовых камер и крематориев) стал построенный близ города Освенцим лагерь уничтожения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Аушвиц-Биркенау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где погибло свыше 1 млн. 100 тысяч евреев из 27 стран.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Евреи всех оккупированных нацистами стран подлежали регистрации, их обязывали носить повязки или нашивки с шестиконечными звездами, платить контрибуцию и сдавать драгоценности. Они были лишены всех гражданских и политических прав, заключались в гетто, концентрационные лагеря или депортировались.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лагерях смерти и гетто на территории Восточной Европы (включая оккупированные области СССР) были уничтожены 200 тыс. евреев Германии; 65 тыс. Австрии; 80 тыс. Чехии; 110 тыс. Словакии; 83 тыс. Франции; 65 тыс. Бельгии; 106 тыс. Нидерландов; 165 тыс. Румынии; 60 тыс. Югославии; 67 тыс. Греции; 350 тыс. Венгрии.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Подавляющее число мирных граждан всех этих стран, погибших от рук нацистов и их пособников, составили евреи. Наиболее ощутимые жертвы (свыше 2 млн. человек) понесла еврейская община Польши (помимо этого более 1 млн. бывших польских евреев погибли на территориях, отошедших осенью 1939 к Советскому Союзу).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Холокост на территории СССР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Систематическое уничтожение мирного еврейского населения нацистами было начато (впервые в Европе) сразу же после нападения Германии на Советский Союз. В нем участвовали 4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айнзацгруппы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СС «А»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,«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В», «С» и «D», приданные соответствующим группам войск вермахта, полицейские батальоны СС и тыловых частей вермахта, местные коллаборационисты, союзники нацистской Германии. Тезис о борьбе с «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жидобольшевизмом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при помощи которого советские евреи отождествлялись с коммунистами как главными врагами рейха, стал одним из лейтмотивов нацистской пропаганды, в т. ч. в периодических изданиях для жителей оккупированных советских территорий. Любые акты сопротивления оккупантам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месяцы войны объявлялись 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«еврейскими акциями», а жертвами ответного террора становились преимущественно евреи (так мотивировались расправы с евреями Киева, где в </w:t>
      </w:r>
      <w:hyperlink r:id="rId5" w:history="1">
        <w:r w:rsidRPr="00F900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Бабьем Яре 29-30 сентября 1941 </w:t>
        </w:r>
      </w:hyperlink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уничтожено несколько десятков тысяч евреев, и Одессы).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Айнзацгруппы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уничтожали всех евреев в сельской местности, а также в городах в зоне немецкой военной администрации (восточнее Днепра). Уничтожение зачастую проводилось в самих населенных пунктах, на глазах у других жителей. В зоне гражданской администрации было создано несколько сот гетто, самые крупные из которых в Минске, Каунасе и Вильнюсе просуществовали до середины 1943. Они изолировались от остального населения колючей проволокой, внутреннее самоуправление осуществляли «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юденраты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(советы старейшин), назначавшиеся нацистами для сбора контрибуции, организации рабочей силы и предотвращения эпидемий, а также распределения продуктов питания. Периодически проводимые расстрелы узников гетто, а затем и ликвидация всех их обитателей (за исключением переведенных в рабочие лагеря нескольких тысяч специалистов) свидетельствуют, что нацисты рассматривали гетто как промежуточный этап в «окончательном решении» еврейского вопроса. Лишь на территории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Транснистрии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захваченной румынскими войсками, уцелело около 70 тыс. узников гетто. Более 2 млн. евреев, проживавших на территории СССР на 22 июня 1941, погибли от рук нацистов и их пособников (уже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дни войны нацисты инспирировали еврейские погромы силами местных националистов в Литве и Западной Украине).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Еврейское Сопротивление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Символом еврейского Сопротивления стало восстание в Варшавском гетто, начавшееся 19 апреля 1943, первое городское восстание в оккупированной нацистами Европе. К его годовщине приурочен День памяти евреев жертв нацизма и героев Сопротивления, отмечаемый ежегодно во всех еврейских общинах мира. Восстание продолжалось несколько недель, почти все его участники погибли с оружием в руках. Успешным было восстание и побег нескольких сот узников из лагеря смерти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Собибор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организованное советским военнопленным евреем А. Печерским. Подпольные группы, организовавшие вооруженное сопротивление, а также побеги узников и снабжение партизан оружием и медикаментами, существовали в минском, каунасском,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белостокском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виленском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гетто. Еврейские партизанские отряды и группы общей численностью около 30 тыс. чел. сражались в лесах Белоруссии, Литвы, Украины. Полмиллиона советских евреев воевали с нацистами на фронтах Великой Отечественной войны.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Мемориалы Холокоста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память 6 млн. евреев жертв нацизма воздвигнуты мемориалы и музеи во многих странах мира.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Среди них Музей Яд Вашем в Иерусалиме (1953), Центр документации и мемориал в Париже (1956), Дом-музей Анны Франк в Амстердаме (1958), Мемориальный Музей Холокоста  в Вашингтоне (1994), Музей памяти 1,5 млн. еврейских детей в Хиросиме.</w:t>
      </w:r>
      <w:proofErr w:type="gramEnd"/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Альтман И.А. Жертвы ненависти. Холоко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 в СССР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1939-1945.- М., 2002.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Арад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Холокаст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Катастрофа европейского еврейства (1933-45): Сб. статей.- Иерусалим, 1990.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Гефтер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Я. Эхо Холокоста и русский еврейский вопрос.- М., 1995.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Клокова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И. История Холокоста на территории СССР в годы Великой Отечественной войны.- М.,1995.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Неизвестная Черная книга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С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ост. И. Альтман, Ш.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Краковский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М.- Иерусалим, 1993.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Уничтожение евреев СССР в годы немецкой оккупации (1941-44): Сб. документов и материалов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П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 ред. И.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Арада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 Иерусалим, 1992.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Черная книга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П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 ред. В.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Гроссмана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И. Эренбурга.- Вильнюс, 1993.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ОСНОВНАЯ ХРОНОЛОГИЧЕСКАЯ ТАБЛИЦА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1920 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создание Национал-социалистической рабочей партии Германии.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1925 -1926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публикация книги А.Гитлера "Майн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кампф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1933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30 января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Гитлер становится канцлером Германии.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 апреля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бойкот еврейских магазинов.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Апрель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 евреям запрещено работать на государственной службе.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 мая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публичное сожжение книг еврейских авторов и писателей, выступающих против нацизма.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Сентябрь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евреям запрещено участвовать в культурной жизни.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1934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 июля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принятие Закона о запрете браков арийцев с представителями "иной расы"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принятие Закона о государственной службе, включающее понятие "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неарийца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1935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 сентября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принятие Нюрнбергских законов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 ноября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публикация поправок к "Закону о гражданстве рейха" и "Закону о защите немецкой чести и немецкой крови"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1938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6 -15 июля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конференция в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Эвиане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еврейских беженцах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 октября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в паспортах евреев ставится знак "J' - от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Jude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(еврей)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9 -10 ноября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"Хрустальная ночь": разрушение синагог и погромы в рейхе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1939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21 сентября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инструкция о заключении евреев Польши в гетто.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23 ноября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приказ о ношении евреями в Польше "Звезды Давида".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1941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22 июня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Нападение Германии на СССР. Начало массового уничтожения советских евреев.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31 июля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Геринг поручает подготовить "окончательное решение еврейского вопроса".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Июль - август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первых гетто на территории СССР.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Август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создание подпольной группы Минского гетто.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29 - 30 сентября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уничтожение десятков тысяч евреев Киева в Бабьем Яре.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Ноябрь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первые транспорты с евреями рейха прибывают в Минск.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 декабря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начало работы лагеря смерти в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Хелмно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lastRenderedPageBreak/>
        <w:t>1942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 января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воззвание подпольной группы Вильнюсского гетто с призывом к сопротивлению.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20 января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совещание в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Ванзее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обсудившее план "окончательного решения".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20 марта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Освенциме начинают работать газовые камеры.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Февраль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создание Еврейского Антифашистского комитета в СССР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15 -16 июля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ликвидация крупнейшего в России гетто в Смоленске.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 августа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расстрел 18.000 евреев Ростова в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Змиевской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балке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19 декабря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публикация советского Заявления об уничтожении евреев СССР.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1943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19 апреля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начало восстания в Варшавском гетто.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Август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восстание в гетто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Белостока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7"/>
          <w:lang w:eastAsia="ru-RU"/>
        </w:rPr>
        <w:t>Октябрь</w:t>
      </w:r>
      <w:r w:rsidRPr="00F900A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</w:t>
      </w: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восстание в лагере смерти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Собибор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23 о</w:t>
      </w: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7"/>
          <w:lang w:eastAsia="ru-RU"/>
        </w:rPr>
        <w:t>ктября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окончательная ликвидация нацистами Минского гетто.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1944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Февраль - март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освобождение гетто </w:t>
      </w:r>
      <w:proofErr w:type="spell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Транснистрии</w:t>
      </w:r>
      <w:proofErr w:type="spell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Июль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освобождение лагеря смерти Майданек.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F900A4" w:rsidRPr="00F900A4" w:rsidRDefault="00F900A4" w:rsidP="00F900A4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1945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27 января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освобождение лагеря смерти Освенцим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 мая 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капитуляция Германии.</w:t>
      </w:r>
    </w:p>
    <w:p w:rsidR="00F900A4" w:rsidRPr="00F900A4" w:rsidRDefault="00F900A4" w:rsidP="00F900A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00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Октябрь</w:t>
      </w:r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начало Нюрнбергского </w:t>
      </w:r>
      <w:proofErr w:type="gramStart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процесса</w:t>
      </w:r>
      <w:proofErr w:type="gramEnd"/>
      <w:r w:rsidRPr="00F90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 главными военными преступниками.</w:t>
      </w:r>
    </w:p>
    <w:p w:rsidR="00BC10C2" w:rsidRPr="00F900A4" w:rsidRDefault="00BC10C2"/>
    <w:sectPr w:rsidR="00BC10C2" w:rsidRPr="00F900A4" w:rsidSect="00BC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0A4"/>
    <w:rsid w:val="00BC10C2"/>
    <w:rsid w:val="00F9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C2"/>
  </w:style>
  <w:style w:type="paragraph" w:styleId="1">
    <w:name w:val="heading 1"/>
    <w:basedOn w:val="a"/>
    <w:link w:val="10"/>
    <w:uiPriority w:val="9"/>
    <w:qFormat/>
    <w:rsid w:val="00F9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900A4"/>
    <w:rPr>
      <w:i/>
      <w:iCs/>
    </w:rPr>
  </w:style>
  <w:style w:type="character" w:styleId="a4">
    <w:name w:val="Strong"/>
    <w:basedOn w:val="a0"/>
    <w:uiPriority w:val="22"/>
    <w:qFormat/>
    <w:rsid w:val="00F900A4"/>
    <w:rPr>
      <w:b/>
      <w:bCs/>
    </w:rPr>
  </w:style>
  <w:style w:type="character" w:customStyle="1" w:styleId="apple-converted-space">
    <w:name w:val="apple-converted-space"/>
    <w:basedOn w:val="a0"/>
    <w:rsid w:val="00F900A4"/>
  </w:style>
  <w:style w:type="character" w:styleId="a5">
    <w:name w:val="Hyperlink"/>
    <w:basedOn w:val="a0"/>
    <w:uiPriority w:val="99"/>
    <w:unhideWhenUsed/>
    <w:rsid w:val="00F90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4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ocf.ru/pages/107" TargetMode="External"/><Relationship Id="rId4" Type="http://schemas.openxmlformats.org/officeDocument/2006/relationships/hyperlink" Target="http://www.holocf.ru/pages/72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2013</dc:creator>
  <cp:lastModifiedBy>User 2013</cp:lastModifiedBy>
  <cp:revision>1</cp:revision>
  <dcterms:created xsi:type="dcterms:W3CDTF">2015-09-04T09:00:00Z</dcterms:created>
  <dcterms:modified xsi:type="dcterms:W3CDTF">2015-09-04T09:01:00Z</dcterms:modified>
</cp:coreProperties>
</file>