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C" w:rsidRDefault="0036099C" w:rsidP="0036099C">
      <w:pPr>
        <w:shd w:val="clear" w:color="auto" w:fill="FFFFFF"/>
        <w:ind w:firstLine="284"/>
        <w:contextualSpacing/>
        <w:jc w:val="center"/>
        <w:rPr>
          <w:b/>
        </w:rPr>
      </w:pPr>
    </w:p>
    <w:p w:rsidR="0036099C" w:rsidRDefault="0036099C" w:rsidP="0036099C">
      <w:pPr>
        <w:shd w:val="clear" w:color="auto" w:fill="FFFFFF"/>
        <w:ind w:firstLine="284"/>
        <w:contextualSpacing/>
        <w:jc w:val="center"/>
        <w:rPr>
          <w:b/>
        </w:rPr>
      </w:pPr>
    </w:p>
    <w:p w:rsidR="00BE6C34" w:rsidRPr="00BE6C34" w:rsidRDefault="00BE6C34" w:rsidP="0036099C">
      <w:pPr>
        <w:shd w:val="clear" w:color="auto" w:fill="FFFFFF"/>
        <w:ind w:firstLine="284"/>
        <w:contextualSpacing/>
        <w:jc w:val="center"/>
      </w:pPr>
      <w:r w:rsidRPr="00BE6C34">
        <w:rPr>
          <w:b/>
        </w:rPr>
        <w:t>«</w:t>
      </w:r>
      <w:r w:rsidRPr="00BE6C34">
        <w:t>Здоровьесберегающие технологии как механизм повышения качества образования и предотвращения утомляемости обучающихся».</w:t>
      </w:r>
    </w:p>
    <w:p w:rsidR="0036099C" w:rsidRPr="00BE6C34" w:rsidRDefault="0036099C" w:rsidP="0036099C">
      <w:pPr>
        <w:shd w:val="clear" w:color="auto" w:fill="FFFFFF"/>
        <w:ind w:firstLine="284"/>
        <w:contextualSpacing/>
        <w:jc w:val="both"/>
        <w:rPr>
          <w:b/>
        </w:rPr>
      </w:pPr>
    </w:p>
    <w:p w:rsidR="00BE6C34" w:rsidRPr="002B1875" w:rsidRDefault="0036099C" w:rsidP="0036099C">
      <w:pPr>
        <w:shd w:val="clear" w:color="auto" w:fill="FFFFFF"/>
        <w:spacing w:after="127" w:line="253" w:lineRule="atLeast"/>
        <w:jc w:val="both"/>
      </w:pPr>
      <w:r>
        <w:rPr>
          <w:sz w:val="22"/>
        </w:rPr>
        <w:t xml:space="preserve">                </w:t>
      </w:r>
      <w:r w:rsidR="00BE6C34">
        <w:rPr>
          <w:sz w:val="22"/>
        </w:rPr>
        <w:t xml:space="preserve">  </w:t>
      </w:r>
      <w:r w:rsidR="00BE6C34" w:rsidRPr="002B1875">
        <w:t>Каждый педаго</w:t>
      </w:r>
      <w:r w:rsidR="004B54DC">
        <w:t>г</w:t>
      </w:r>
      <w:r w:rsidR="00BE6C34" w:rsidRPr="002B1875">
        <w:t>,</w:t>
      </w:r>
      <w:r w:rsidR="004B54DC">
        <w:t xml:space="preserve"> </w:t>
      </w:r>
      <w:r w:rsidR="00BE6C34" w:rsidRPr="002B1875">
        <w:t xml:space="preserve"> работая с детьми с интеллектуальными нарушениями, должен знать, что только правильная организация учебной деятельности, умелое использование в нём здоровьесберегающих средств будет способствовать улучшению всех аспектов здоровья. Интеллектуальное отклонение обусловлено органическим нарушением коры головного мозга. Но психическую деятельность ребенка можно в некоторой мере скорригировать.</w:t>
      </w:r>
      <w:r w:rsidR="00BE6C34" w:rsidRPr="002B1875">
        <w:rPr>
          <w:color w:val="333333"/>
        </w:rPr>
        <w:t xml:space="preserve"> </w:t>
      </w:r>
      <w:r w:rsidR="00BE6C34" w:rsidRPr="002B1875">
        <w:t xml:space="preserve">Его мозг пластичен. Ребенок растет и развивается. Отечественные психологи (Л.С. Выготский, его ученики и последователи) говорят о том, что коррекцию дефекта следует осуществлять в возможно более раннем возрасте, опираясь на сохранные возможности ребенка и уделяя особое внимание становлению его высших психических функций — мышлению, речи, произвольной памяти. Одним из ведущих показателей активного функционального состояния психики является умственная работоспособность. Замедленность реакций, расстройства внимания и повышенная утомляемость обучащихся коррекционной  школы снижают устойчивость их умственной работоспособности и затрудняют выполнение предлагаемых им заданий.  </w:t>
      </w:r>
    </w:p>
    <w:p w:rsidR="00BE6C34" w:rsidRDefault="004B54DC" w:rsidP="0036099C">
      <w:pPr>
        <w:shd w:val="clear" w:color="auto" w:fill="FFFFFF"/>
        <w:contextualSpacing/>
        <w:jc w:val="both"/>
        <w:rPr>
          <w:sz w:val="22"/>
        </w:rPr>
      </w:pPr>
      <w:r>
        <w:t>Слайд 1</w:t>
      </w:r>
      <w:r w:rsidR="00262EFD">
        <w:t xml:space="preserve">. </w:t>
      </w:r>
      <w:r w:rsidR="00BE6C34" w:rsidRPr="002B1875">
        <w:t>Нами была  избрана </w:t>
      </w:r>
      <w:r w:rsidR="00BE6C34" w:rsidRPr="00BE6C34">
        <w:rPr>
          <w:bCs/>
        </w:rPr>
        <w:t>тема работы:</w:t>
      </w:r>
      <w:r w:rsidR="00BE6C34" w:rsidRPr="002B1875">
        <w:rPr>
          <w:b/>
          <w:bCs/>
        </w:rPr>
        <w:t xml:space="preserve"> “</w:t>
      </w:r>
      <w:r w:rsidR="00BE6C34" w:rsidRPr="002B1875">
        <w:rPr>
          <w:b/>
          <w:sz w:val="22"/>
        </w:rPr>
        <w:t>«</w:t>
      </w:r>
      <w:r w:rsidR="00BE6C34" w:rsidRPr="002B1875">
        <w:rPr>
          <w:sz w:val="22"/>
        </w:rPr>
        <w:t>Здоровьесберегающие технологии как механизм повышения качества образования и предотвращения утомляемости обучающихся».</w:t>
      </w:r>
    </w:p>
    <w:p w:rsidR="00BE6C34" w:rsidRPr="002B1875" w:rsidRDefault="004B54DC" w:rsidP="0036099C">
      <w:pPr>
        <w:shd w:val="clear" w:color="auto" w:fill="FFFFFF"/>
        <w:contextualSpacing/>
        <w:jc w:val="both"/>
        <w:rPr>
          <w:sz w:val="22"/>
        </w:rPr>
      </w:pPr>
      <w:r>
        <w:rPr>
          <w:sz w:val="22"/>
        </w:rPr>
        <w:t xml:space="preserve">Слайд 2. </w:t>
      </w:r>
      <w:r w:rsidR="00BE6C34">
        <w:rPr>
          <w:sz w:val="22"/>
        </w:rPr>
        <w:t>Цель:</w:t>
      </w:r>
      <w:r w:rsidR="00BE6C34" w:rsidRPr="002B1875">
        <w:t xml:space="preserve"> поиск условий внедрения  элементов  кинезеологических   упражнений  специальной школы как средства повышения умственной работоспособности   школьника.</w:t>
      </w:r>
    </w:p>
    <w:p w:rsidR="00BE6C34" w:rsidRPr="002B1875" w:rsidRDefault="00BE6C34" w:rsidP="0036099C">
      <w:pPr>
        <w:shd w:val="clear" w:color="auto" w:fill="FFFFFF"/>
        <w:spacing w:after="127" w:line="253" w:lineRule="atLeast"/>
        <w:jc w:val="both"/>
      </w:pPr>
      <w:r w:rsidRPr="002B1875">
        <w:t xml:space="preserve">Задачи: </w:t>
      </w:r>
      <w:r>
        <w:t>1. И</w:t>
      </w:r>
      <w:r w:rsidRPr="002B1875">
        <w:t>зучить и проанализировать  основы методы кинезеологии и развитие умственной работоспособности у детей с нарушением интеллекта.</w:t>
      </w:r>
    </w:p>
    <w:p w:rsidR="00BE6C34" w:rsidRPr="00BE6C34" w:rsidRDefault="00BE6C34" w:rsidP="0036099C">
      <w:pPr>
        <w:jc w:val="both"/>
        <w:rPr>
          <w:b/>
        </w:rPr>
      </w:pPr>
      <w:r>
        <w:t xml:space="preserve"> </w:t>
      </w:r>
      <w:r w:rsidRPr="00BE6C34">
        <w:rPr>
          <w:sz w:val="22"/>
        </w:rPr>
        <w:t xml:space="preserve"> </w:t>
      </w:r>
      <w:r w:rsidRPr="00BE6C34">
        <w:t>Цель  -  повышение качества образования и предотвращение утомляемости обучащихся.</w:t>
      </w:r>
    </w:p>
    <w:p w:rsidR="00BE6C34" w:rsidRPr="00BE6C34" w:rsidRDefault="00BE6C34" w:rsidP="0036099C">
      <w:pPr>
        <w:jc w:val="both"/>
      </w:pPr>
      <w:r w:rsidRPr="00BE6C34">
        <w:t>Чтобы добиться  результатов нужно  было  решить  следующие задачи:</w:t>
      </w:r>
    </w:p>
    <w:p w:rsidR="00BE6C34" w:rsidRPr="00BE6C34" w:rsidRDefault="00BE6C34" w:rsidP="0036099C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E6C34">
        <w:rPr>
          <w:color w:val="auto"/>
        </w:rPr>
        <w:t>Создание  условий для формирования у обучающихся  практических навыков,  способствующих повышению учебной мотивации, снижению утомляемости для более успешного обучения;</w:t>
      </w:r>
    </w:p>
    <w:p w:rsidR="00BE6C34" w:rsidRPr="00BE6C34" w:rsidRDefault="00BE6C34" w:rsidP="0036099C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E6C34">
        <w:rPr>
          <w:color w:val="auto"/>
        </w:rPr>
        <w:t xml:space="preserve">Активизирование   познавательных  способностей обучающихся, направленные на повышение качества обучения через внедрение в учебный процесс  элементов </w:t>
      </w:r>
      <w:proofErr w:type="spellStart"/>
      <w:r w:rsidRPr="00BE6C34">
        <w:rPr>
          <w:color w:val="auto"/>
        </w:rPr>
        <w:t>здоровьесберегающих</w:t>
      </w:r>
      <w:proofErr w:type="spellEnd"/>
      <w:r w:rsidRPr="00BE6C34">
        <w:rPr>
          <w:color w:val="auto"/>
        </w:rPr>
        <w:t xml:space="preserve"> технологий.</w:t>
      </w:r>
    </w:p>
    <w:p w:rsidR="00BE6C34" w:rsidRPr="00BE6C34" w:rsidRDefault="00BE6C34" w:rsidP="0036099C">
      <w:pPr>
        <w:numPr>
          <w:ilvl w:val="0"/>
          <w:numId w:val="4"/>
        </w:numPr>
        <w:shd w:val="clear" w:color="auto" w:fill="FFFFFF"/>
        <w:jc w:val="both"/>
      </w:pPr>
      <w:r w:rsidRPr="00BE6C34">
        <w:t>Осуществление корректировки внедряемой технологии по результатам проведения контрольных срезов её практической эффективности;</w:t>
      </w:r>
    </w:p>
    <w:p w:rsidR="00BE6C34" w:rsidRPr="00BE6C34" w:rsidRDefault="00BE6C34" w:rsidP="0036099C">
      <w:pPr>
        <w:shd w:val="clear" w:color="auto" w:fill="FFFFFF"/>
        <w:jc w:val="both"/>
      </w:pPr>
    </w:p>
    <w:p w:rsidR="00BE6C34" w:rsidRPr="00BE6C34" w:rsidRDefault="00BE6C34" w:rsidP="0036099C">
      <w:pPr>
        <w:pStyle w:val="a7"/>
        <w:shd w:val="clear" w:color="auto" w:fill="FFFFFF"/>
        <w:ind w:left="0"/>
        <w:jc w:val="both"/>
        <w:rPr>
          <w:b/>
        </w:rPr>
      </w:pPr>
      <w:r>
        <w:rPr>
          <w:sz w:val="28"/>
        </w:rPr>
        <w:t xml:space="preserve">                                           </w:t>
      </w:r>
      <w:r w:rsidRPr="00BE6C34">
        <w:rPr>
          <w:b/>
        </w:rPr>
        <w:t>Этапы совместной работы</w:t>
      </w:r>
    </w:p>
    <w:p w:rsidR="00BE6C34" w:rsidRPr="00BE6C34" w:rsidRDefault="00BE6C34" w:rsidP="0036099C">
      <w:pPr>
        <w:shd w:val="clear" w:color="auto" w:fill="FFFFFF"/>
        <w:ind w:firstLine="284"/>
        <w:contextualSpacing/>
        <w:jc w:val="both"/>
      </w:pPr>
      <w:r w:rsidRPr="00BE6C34">
        <w:t>Данная совместная работа проводилась с обучающимися 5 класса специальной (коррекционной) школы-интерната  с. Илир, Братского района, Иркутской области, в количестве 12 человек (12-13 лет) в 2014-2015 учебного года.</w:t>
      </w:r>
    </w:p>
    <w:p w:rsidR="00BE6C34" w:rsidRPr="00BE6C34" w:rsidRDefault="00BE6C34" w:rsidP="0036099C">
      <w:pPr>
        <w:shd w:val="clear" w:color="auto" w:fill="FFFFFF"/>
        <w:ind w:firstLine="284"/>
        <w:contextualSpacing/>
        <w:jc w:val="both"/>
      </w:pPr>
      <w:r w:rsidRPr="00BE6C34">
        <w:t>Работа состояла из трёх этапов.</w:t>
      </w:r>
    </w:p>
    <w:p w:rsidR="00BE6C34" w:rsidRPr="00BE6C34" w:rsidRDefault="00BE6C34" w:rsidP="0036099C">
      <w:pPr>
        <w:shd w:val="clear" w:color="auto" w:fill="FFFFFF"/>
        <w:ind w:firstLine="284"/>
        <w:contextualSpacing/>
        <w:jc w:val="both"/>
      </w:pPr>
      <w:r w:rsidRPr="00BE6C34">
        <w:t>На 1 этапе мы провели  первичную диагностику по изучению  работоспособности обучающихся, которая помогла выявить исходный уровень работоспособности..</w:t>
      </w:r>
    </w:p>
    <w:p w:rsidR="00BE6C34" w:rsidRPr="00BE6C34" w:rsidRDefault="00BE6C34" w:rsidP="0036099C">
      <w:pPr>
        <w:shd w:val="clear" w:color="auto" w:fill="FFFFFF"/>
        <w:ind w:firstLine="284"/>
        <w:contextualSpacing/>
        <w:jc w:val="both"/>
      </w:pPr>
      <w:r w:rsidRPr="00BE6C34">
        <w:t>2 этап состоял из двух частей: методической - анализ литературы по данной теме, подбор кинезеологических упражнений, составление плана и конспектов уроков и психологических занятий с применением кинезеологических упражнений и практической – проведение кинезеологических упражнений на уроках и психологических занятий.</w:t>
      </w:r>
    </w:p>
    <w:p w:rsidR="00BE6C34" w:rsidRPr="00BE6C34" w:rsidRDefault="00BE6C34" w:rsidP="0036099C">
      <w:pPr>
        <w:tabs>
          <w:tab w:val="num" w:pos="0"/>
        </w:tabs>
        <w:jc w:val="both"/>
      </w:pPr>
      <w:r w:rsidRPr="00BE6C34">
        <w:t>На 3  этапе – провели  корректировку основных положений исследования, обобщили и систематизировали материалы, сделали  выводы и продолжили  работу по внедрению элементов здоровьесберегающих технологий в педагогической практике.</w:t>
      </w:r>
    </w:p>
    <w:p w:rsidR="00BE6C34" w:rsidRPr="00BE6C34" w:rsidRDefault="00BE6C34" w:rsidP="0036099C">
      <w:pPr>
        <w:contextualSpacing/>
        <w:jc w:val="both"/>
      </w:pPr>
    </w:p>
    <w:p w:rsidR="00BE6C34" w:rsidRPr="00BE6C34" w:rsidRDefault="00BE6C34" w:rsidP="0036099C">
      <w:pPr>
        <w:contextualSpacing/>
        <w:jc w:val="both"/>
        <w:rPr>
          <w:b/>
        </w:rPr>
      </w:pPr>
      <w:r>
        <w:rPr>
          <w:sz w:val="28"/>
        </w:rPr>
        <w:lastRenderedPageBreak/>
        <w:t xml:space="preserve">                     </w:t>
      </w:r>
      <w:r w:rsidRPr="00BE6C34">
        <w:rPr>
          <w:b/>
        </w:rPr>
        <w:t>Изучение  умственной работоспособности обучающихся</w:t>
      </w:r>
    </w:p>
    <w:p w:rsidR="00BE6C34" w:rsidRDefault="004B54DC" w:rsidP="0036099C">
      <w:pPr>
        <w:ind w:firstLine="284"/>
        <w:contextualSpacing/>
        <w:jc w:val="both"/>
        <w:rPr>
          <w:sz w:val="22"/>
        </w:rPr>
      </w:pPr>
      <w:r>
        <w:rPr>
          <w:sz w:val="22"/>
        </w:rPr>
        <w:t xml:space="preserve"> </w:t>
      </w:r>
    </w:p>
    <w:p w:rsidR="004B54DC" w:rsidRPr="004B54DC" w:rsidRDefault="004B54DC" w:rsidP="0036099C">
      <w:pPr>
        <w:spacing w:after="127" w:line="253" w:lineRule="atLeast"/>
        <w:jc w:val="both"/>
        <w:rPr>
          <w:bCs/>
          <w:shd w:val="clear" w:color="auto" w:fill="FFFFFF"/>
        </w:rPr>
      </w:pPr>
      <w:r w:rsidRPr="004B54DC">
        <w:rPr>
          <w:bCs/>
          <w:shd w:val="clear" w:color="auto" w:fill="FFFFFF"/>
        </w:rPr>
        <w:t>В качестве параметров диагностики, согласно исследованию  мы  выделили:</w:t>
      </w:r>
    </w:p>
    <w:p w:rsidR="004B54DC" w:rsidRPr="004B54DC" w:rsidRDefault="004B54DC" w:rsidP="00360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bCs/>
        </w:rPr>
      </w:pPr>
      <w:r w:rsidRPr="004B54DC">
        <w:rPr>
          <w:bCs/>
        </w:rPr>
        <w:t>внимание (концентрация, переключаемость);</w:t>
      </w:r>
    </w:p>
    <w:p w:rsidR="004B54DC" w:rsidRPr="004B54DC" w:rsidRDefault="004B54DC" w:rsidP="00360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bCs/>
        </w:rPr>
      </w:pPr>
      <w:r w:rsidRPr="004B54DC">
        <w:rPr>
          <w:bCs/>
        </w:rPr>
        <w:t>интенсивность учебной деятельности.</w:t>
      </w:r>
    </w:p>
    <w:p w:rsidR="004B54DC" w:rsidRDefault="004B54DC" w:rsidP="00360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</w:pPr>
      <w:r w:rsidRPr="004B54DC">
        <w:rPr>
          <w:bCs/>
        </w:rPr>
        <w:t>общая продуктивность учебной деятельности, которая выразилась в качестве знаний учащихся и способности переносить усвоенные способы в другие ситуации учебной деятельности.</w:t>
      </w:r>
    </w:p>
    <w:p w:rsidR="004B54DC" w:rsidRPr="002B1875" w:rsidRDefault="004B54DC" w:rsidP="0036099C">
      <w:pPr>
        <w:shd w:val="clear" w:color="auto" w:fill="FFFFFF"/>
        <w:spacing w:before="100" w:beforeAutospacing="1" w:after="100" w:afterAutospacing="1" w:line="253" w:lineRule="atLeast"/>
        <w:ind w:left="360"/>
        <w:jc w:val="both"/>
      </w:pPr>
      <w:r>
        <w:t xml:space="preserve"> </w:t>
      </w:r>
      <w:r w:rsidRPr="002B1875">
        <w:t xml:space="preserve">Первая методика, позволяющая изучить интенсивность учебной работы (М. В. Антропова)  </w:t>
      </w:r>
      <w:r>
        <w:t xml:space="preserve"> </w:t>
      </w:r>
      <w:r w:rsidRPr="002B1875">
        <w:t>Прежде всего, следует отметить, что дети испытывали значительные трудности в связи с необходимостью понять смысл и</w:t>
      </w:r>
      <w:r>
        <w:t xml:space="preserve">нструкций. 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 xml:space="preserve">Полученные результаты показали, 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>Внимание – это обязательное условие продуктивности всякой созна</w:t>
      </w:r>
      <w:r>
        <w:t>тельной деятельности.</w:t>
      </w:r>
      <w:r w:rsidRPr="002B1875">
        <w:t xml:space="preserve"> На основании наблюдений, очевидно, что внимание резко падает на 18 –20 минуте. Аналогичное исследование проведено во все дни недели. Мы  делаем вывод, что наиболее продуктивными являются дни недели: вторник, среда и 2 и 3 уроки. </w:t>
      </w:r>
      <w:r>
        <w:t xml:space="preserve"> </w:t>
      </w:r>
      <w:r w:rsidRPr="002B1875">
        <w:t xml:space="preserve"> Получены следующие данные: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>
        <w:t>7</w:t>
      </w:r>
      <w:r w:rsidRPr="002B1875">
        <w:t xml:space="preserve"> детей (40%) средний уровень;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>
        <w:t>5</w:t>
      </w:r>
      <w:r w:rsidRPr="002B1875">
        <w:t xml:space="preserve"> детей (60%) низкий уровень.</w:t>
      </w:r>
    </w:p>
    <w:p w:rsidR="004B54DC" w:rsidRPr="002B1875" w:rsidRDefault="00DC3EF5" w:rsidP="0036099C">
      <w:pPr>
        <w:shd w:val="clear" w:color="auto" w:fill="FFFFFF"/>
        <w:spacing w:after="127" w:line="253" w:lineRule="atLeast"/>
        <w:jc w:val="both"/>
      </w:pPr>
      <w:r>
        <w:t xml:space="preserve">     </w:t>
      </w:r>
      <w:r w:rsidR="004B54DC" w:rsidRPr="002B1875">
        <w:t>Следующим параметром внимания является способность его концентрировать. Детям давалось задание аналогично корректурной пробе и предлагалось вычёркивать конкретные буквы за определённый отрезок времени. Далее для изучения способности к переключению при аналогичном задании использовала отвлекающие речевые раздражители. При этом отмечалось резкое ухудшение выполнения деятельности, выражающееся в снижении скорости, увеличении ошибок. Результаты фиксировались, а задание усложнялось подключением вопросов, которые относились непосредственно к ученику. По результат</w:t>
      </w:r>
      <w:r w:rsidR="004B54DC">
        <w:t>ам наблюдений мы  выяснили</w:t>
      </w:r>
      <w:r w:rsidR="004B54DC" w:rsidRPr="002B1875">
        <w:t>, что после ответа ученики практически не могли вернуться к прерванному заданию (путали строчки, пр</w:t>
      </w:r>
      <w:r w:rsidR="004B54DC">
        <w:t>опускали ряд строчек и т. д.). Мы  констатировали</w:t>
      </w:r>
      <w:r w:rsidR="004B54DC" w:rsidRPr="002B1875">
        <w:t>, что у всех детей нарастает утомление уже после 15 минут однотипной работы</w:t>
      </w:r>
      <w:r>
        <w:t xml:space="preserve"> 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  <w:rPr>
          <w:b/>
        </w:rPr>
      </w:pPr>
      <w:r w:rsidRPr="002B1875">
        <w:t>По данным  наблюдениям  все дети с отклонениями в психической сфере имеют сниженную работоспособность и отрицательную её динамику под влиянием учебных занятий и особенно нуждаются в индивидуальном подходе и рационал</w:t>
      </w:r>
      <w:r>
        <w:t>ьном организации работы</w:t>
      </w:r>
      <w:r w:rsidRPr="002B1875">
        <w:t>. Чтобы выявить степень усвоения материала, нами  были изучены продукты деятельности детей (на основе выполнения четвертных контрольных работ).</w:t>
      </w:r>
      <w:r w:rsidRPr="002B1875">
        <w:rPr>
          <w:b/>
        </w:rPr>
        <w:t>диаграммы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 xml:space="preserve"> Полученные данные указывают на невысокий уровень усвоения учебного материала.. </w:t>
      </w:r>
      <w:r w:rsidR="00DC3EF5">
        <w:t xml:space="preserve"> </w:t>
      </w:r>
    </w:p>
    <w:p w:rsidR="004B54DC" w:rsidRPr="002B1875" w:rsidRDefault="00DC3EF5" w:rsidP="0036099C">
      <w:pPr>
        <w:shd w:val="clear" w:color="auto" w:fill="FFFFFF"/>
        <w:spacing w:after="127" w:line="253" w:lineRule="atLeast"/>
        <w:jc w:val="both"/>
      </w:pPr>
      <w:r>
        <w:t xml:space="preserve">Слайд 3. </w:t>
      </w:r>
      <w:r w:rsidR="004B54DC" w:rsidRPr="002B1875">
        <w:t>На основании проведённой диагностики, исходя из выделенных параметров, мы можем представить количественную и качественную уровневую характеристику работоспособности детей класса.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5"/>
        <w:gridCol w:w="479"/>
        <w:gridCol w:w="580"/>
        <w:gridCol w:w="580"/>
        <w:gridCol w:w="588"/>
        <w:gridCol w:w="713"/>
        <w:gridCol w:w="713"/>
        <w:gridCol w:w="590"/>
        <w:gridCol w:w="715"/>
        <w:gridCol w:w="715"/>
        <w:gridCol w:w="627"/>
        <w:gridCol w:w="760"/>
        <w:gridCol w:w="760"/>
      </w:tblGrid>
      <w:tr w:rsidR="004B54DC" w:rsidRPr="002B1875" w:rsidTr="00E635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Количество учащихся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spacing w:after="127"/>
              <w:jc w:val="both"/>
            </w:pPr>
            <w:r w:rsidRPr="002B1875">
              <w:t>Внимание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spacing w:after="127"/>
              <w:jc w:val="both"/>
            </w:pPr>
            <w:r w:rsidRPr="002B1875">
              <w:t>Интенсивность работы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spacing w:after="127"/>
              <w:jc w:val="both"/>
            </w:pPr>
            <w:r w:rsidRPr="002B1875">
              <w:t>Продуктивность работы</w:t>
            </w:r>
          </w:p>
        </w:tc>
      </w:tr>
      <w:tr w:rsidR="004B54DC" w:rsidRPr="002B1875" w:rsidTr="00E6350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spacing w:after="127"/>
              <w:jc w:val="both"/>
            </w:pPr>
            <w:r w:rsidRPr="002B1875">
              <w:t>концентрация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spacing w:after="127"/>
              <w:jc w:val="both"/>
            </w:pPr>
            <w:r w:rsidRPr="002B1875">
              <w:t>переключаемость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Н</w:t>
            </w:r>
          </w:p>
        </w:tc>
      </w:tr>
      <w:tr w:rsidR="004B54DC" w:rsidRPr="002B1875" w:rsidTr="00E63500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Н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</w:tr>
      <w:tr w:rsidR="004B54DC" w:rsidRPr="002B1875" w:rsidTr="00E635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1</w:t>
            </w:r>
            <w:r w:rsidR="00262EFD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B54DC" w:rsidRPr="002B1875" w:rsidRDefault="004B54DC" w:rsidP="0036099C">
            <w:pPr>
              <w:jc w:val="both"/>
            </w:pPr>
            <w:r w:rsidRPr="002B1875">
              <w:t>60</w:t>
            </w:r>
          </w:p>
        </w:tc>
      </w:tr>
    </w:tbl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>По группам это выглядит следующим образом: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>Высокий уровень- 0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>
        <w:t>Средний уровень –7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>
        <w:t>Низкий уровень – 5</w:t>
      </w:r>
    </w:p>
    <w:p w:rsidR="004B54DC" w:rsidRPr="002B1875" w:rsidRDefault="00DC3EF5" w:rsidP="0036099C">
      <w:pPr>
        <w:shd w:val="clear" w:color="auto" w:fill="FFFFFF"/>
        <w:spacing w:after="127" w:line="253" w:lineRule="atLeast"/>
        <w:jc w:val="both"/>
      </w:pPr>
      <w:r>
        <w:t xml:space="preserve"> </w:t>
      </w:r>
      <w:r w:rsidR="004B54DC" w:rsidRPr="002B1875">
        <w:t>Таким образом, очевидно, что необходимо использовать средства, которые бы стимулировали работоспособность детей. Одним из таких средств выступают   кинезеологические упражнения, способствующие эффективности учебной деятельности детей.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>На 2 этапе за основу мы взяли программу   Аллы  Леонидовны Сиротюк, которую автор трактует как технологию “программа формирования нейропсихологического пространства проблемного ребёнка».   Наряду с ними использовались физкультурные минутки для снятия общего напряжения, снятия утомления с глаз, пальчиковая гимнастика, массаж, самомассаж и т. д.</w:t>
      </w:r>
    </w:p>
    <w:p w:rsidR="004B54DC" w:rsidRPr="002B1875" w:rsidRDefault="004B54DC" w:rsidP="0036099C">
      <w:pPr>
        <w:shd w:val="clear" w:color="auto" w:fill="FFFFFF"/>
        <w:spacing w:after="127" w:line="253" w:lineRule="atLeast"/>
        <w:jc w:val="both"/>
      </w:pPr>
      <w:r w:rsidRPr="002B1875">
        <w:t>По результатам  повторной  диагностики,  по аналогичным методикам,  показала положительную динамику по всем параметрам, указанным выше:</w:t>
      </w:r>
    </w:p>
    <w:p w:rsidR="004B54DC" w:rsidRPr="002B1875" w:rsidRDefault="004B54DC" w:rsidP="00360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</w:pPr>
      <w:r w:rsidRPr="002B1875">
        <w:rPr>
          <w:i/>
          <w:iCs/>
        </w:rPr>
        <w:t>концентрация внимания увеличилась на 10 %,</w:t>
      </w:r>
    </w:p>
    <w:p w:rsidR="004B54DC" w:rsidRPr="002B1875" w:rsidRDefault="004B54DC" w:rsidP="00360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</w:pPr>
      <w:r w:rsidRPr="002B1875">
        <w:rPr>
          <w:i/>
          <w:iCs/>
        </w:rPr>
        <w:t>переключаемость на 10%,</w:t>
      </w:r>
    </w:p>
    <w:p w:rsidR="004B54DC" w:rsidRPr="002B1875" w:rsidRDefault="004B54DC" w:rsidP="00360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</w:pPr>
      <w:r w:rsidRPr="002B1875">
        <w:rPr>
          <w:i/>
          <w:iCs/>
        </w:rPr>
        <w:t>интенсивность выросла на 30 %,</w:t>
      </w:r>
    </w:p>
    <w:p w:rsidR="004B54DC" w:rsidRPr="002B1875" w:rsidRDefault="004B54DC" w:rsidP="00360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</w:pPr>
      <w:r w:rsidRPr="002B1875">
        <w:rPr>
          <w:i/>
          <w:iCs/>
        </w:rPr>
        <w:t>увеличилась продуктивность учебной деятельности на 10%.</w:t>
      </w:r>
    </w:p>
    <w:p w:rsidR="004B54DC" w:rsidRPr="002B1875" w:rsidRDefault="00DC3EF5" w:rsidP="0036099C">
      <w:pPr>
        <w:shd w:val="clear" w:color="auto" w:fill="FFFFFF"/>
        <w:spacing w:after="127" w:line="253" w:lineRule="atLeast"/>
        <w:jc w:val="both"/>
      </w:pPr>
      <w:r>
        <w:t xml:space="preserve">Слайд 4. </w:t>
      </w:r>
      <w:r w:rsidR="004B54DC" w:rsidRPr="002B1875">
        <w:t>Сравнительная уровневая характеристика работоспособности детей.</w:t>
      </w:r>
    </w:p>
    <w:tbl>
      <w:tblPr>
        <w:tblW w:w="9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3"/>
        <w:gridCol w:w="583"/>
        <w:gridCol w:w="583"/>
        <w:gridCol w:w="583"/>
        <w:gridCol w:w="583"/>
        <w:gridCol w:w="680"/>
        <w:gridCol w:w="778"/>
        <w:gridCol w:w="680"/>
        <w:gridCol w:w="778"/>
        <w:gridCol w:w="583"/>
        <w:gridCol w:w="875"/>
        <w:gridCol w:w="875"/>
        <w:gridCol w:w="486"/>
      </w:tblGrid>
      <w:tr w:rsidR="004B54DC" w:rsidRPr="002B1875" w:rsidTr="00E63500">
        <w:trPr>
          <w:trHeight w:val="315"/>
        </w:trPr>
        <w:tc>
          <w:tcPr>
            <w:tcW w:w="8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Количество учащихся</w:t>
            </w:r>
          </w:p>
        </w:tc>
        <w:tc>
          <w:tcPr>
            <w:tcW w:w="195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after="127" w:line="253" w:lineRule="atLeast"/>
              <w:jc w:val="both"/>
            </w:pPr>
            <w:r w:rsidRPr="002B1875">
              <w:t>Внимание (%)</w:t>
            </w:r>
          </w:p>
        </w:tc>
        <w:tc>
          <w:tcPr>
            <w:tcW w:w="1050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after="127" w:line="253" w:lineRule="atLeast"/>
              <w:jc w:val="both"/>
            </w:pPr>
            <w:r w:rsidRPr="002B1875">
              <w:t>Интенсивность</w:t>
            </w:r>
          </w:p>
          <w:p w:rsidR="004B54DC" w:rsidRPr="002B1875" w:rsidRDefault="004B54DC" w:rsidP="0036099C">
            <w:pPr>
              <w:spacing w:after="127" w:line="253" w:lineRule="atLeast"/>
              <w:jc w:val="both"/>
            </w:pPr>
            <w:r w:rsidRPr="002B1875">
              <w:t>работы(%)</w:t>
            </w:r>
          </w:p>
        </w:tc>
        <w:tc>
          <w:tcPr>
            <w:tcW w:w="1150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after="127" w:line="253" w:lineRule="atLeast"/>
              <w:jc w:val="both"/>
            </w:pPr>
            <w:r w:rsidRPr="002B1875">
              <w:t>Продуктивность</w:t>
            </w:r>
          </w:p>
          <w:p w:rsidR="004B54DC" w:rsidRPr="002B1875" w:rsidRDefault="004B54DC" w:rsidP="0036099C">
            <w:pPr>
              <w:spacing w:after="127" w:line="253" w:lineRule="atLeast"/>
              <w:jc w:val="both"/>
            </w:pPr>
            <w:r w:rsidRPr="002B1875">
              <w:t>работы(%)</w:t>
            </w:r>
          </w:p>
        </w:tc>
      </w:tr>
      <w:tr w:rsidR="004B54DC" w:rsidRPr="002B1875" w:rsidTr="00E63500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концентрация</w:t>
            </w:r>
          </w:p>
        </w:tc>
        <w:tc>
          <w:tcPr>
            <w:tcW w:w="10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переключаемость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</w:tr>
      <w:tr w:rsidR="004B54DC" w:rsidRPr="002B1875" w:rsidTr="00E63500">
        <w:trPr>
          <w:trHeight w:val="1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B54DC" w:rsidRPr="002B1875" w:rsidRDefault="004B54DC" w:rsidP="0036099C">
            <w:pPr>
              <w:jc w:val="both"/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В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С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Н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В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С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Н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В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С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Н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С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Н</w:t>
            </w:r>
          </w:p>
        </w:tc>
      </w:tr>
      <w:tr w:rsidR="004B54DC" w:rsidRPr="002B1875" w:rsidTr="00E63500">
        <w:trPr>
          <w:trHeight w:val="480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1</w:t>
            </w:r>
            <w:r>
              <w:t>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40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60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20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80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40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60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40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60</w:t>
            </w:r>
          </w:p>
        </w:tc>
      </w:tr>
      <w:tr w:rsidR="004B54DC" w:rsidRPr="002B1875" w:rsidTr="00E63500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1</w:t>
            </w:r>
            <w:r>
              <w:t>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50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50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30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70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70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50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B54DC" w:rsidRPr="002B1875" w:rsidRDefault="004B54DC" w:rsidP="0036099C">
            <w:pPr>
              <w:spacing w:line="253" w:lineRule="atLeast"/>
              <w:jc w:val="both"/>
            </w:pPr>
            <w:r w:rsidRPr="002B1875">
              <w:t>50</w:t>
            </w:r>
          </w:p>
        </w:tc>
      </w:tr>
    </w:tbl>
    <w:p w:rsidR="004B54DC" w:rsidRDefault="004B54DC" w:rsidP="0036099C">
      <w:pPr>
        <w:ind w:firstLine="284"/>
        <w:contextualSpacing/>
        <w:jc w:val="both"/>
        <w:rPr>
          <w:sz w:val="22"/>
        </w:rPr>
      </w:pPr>
    </w:p>
    <w:p w:rsidR="00BE6C34" w:rsidRPr="003319BF" w:rsidRDefault="00DC3EF5" w:rsidP="0036099C">
      <w:pPr>
        <w:pStyle w:val="a3"/>
        <w:contextualSpacing/>
        <w:jc w:val="both"/>
        <w:rPr>
          <w:sz w:val="22"/>
        </w:rPr>
      </w:pPr>
      <w:r>
        <w:rPr>
          <w:sz w:val="22"/>
        </w:rPr>
        <w:t xml:space="preserve"> </w:t>
      </w:r>
    </w:p>
    <w:p w:rsidR="00BE6C34" w:rsidRPr="003319BF" w:rsidRDefault="00BE6C34" w:rsidP="0036099C">
      <w:pPr>
        <w:shd w:val="clear" w:color="auto" w:fill="FFFFFF"/>
        <w:ind w:firstLine="284"/>
        <w:contextualSpacing/>
        <w:jc w:val="both"/>
        <w:rPr>
          <w:sz w:val="22"/>
        </w:rPr>
      </w:pPr>
      <w:r w:rsidRPr="003319BF">
        <w:rPr>
          <w:sz w:val="22"/>
        </w:rPr>
        <w:t>Чтобы выявить степень усвоения материала, нами  были проведены контрольные работы по основным предметам за 1</w:t>
      </w:r>
      <w:r w:rsidR="00DC3EF5">
        <w:rPr>
          <w:sz w:val="22"/>
        </w:rPr>
        <w:t xml:space="preserve"> и 3</w:t>
      </w:r>
      <w:r>
        <w:rPr>
          <w:sz w:val="22"/>
        </w:rPr>
        <w:t xml:space="preserve"> четверти </w:t>
      </w:r>
      <w:r w:rsidRPr="003319BF">
        <w:rPr>
          <w:sz w:val="22"/>
        </w:rPr>
        <w:t>. Полученные данные</w:t>
      </w:r>
      <w:r>
        <w:rPr>
          <w:sz w:val="22"/>
        </w:rPr>
        <w:t xml:space="preserve"> за 1 четверть </w:t>
      </w:r>
      <w:r w:rsidRPr="003319BF">
        <w:rPr>
          <w:sz w:val="22"/>
        </w:rPr>
        <w:t xml:space="preserve"> указывают на невысокий уровень усвоения у</w:t>
      </w:r>
      <w:r w:rsidR="004B54DC">
        <w:rPr>
          <w:sz w:val="22"/>
        </w:rPr>
        <w:t>чебного материала.</w:t>
      </w:r>
    </w:p>
    <w:p w:rsidR="004B54DC" w:rsidRDefault="004B54DC" w:rsidP="0036099C">
      <w:pPr>
        <w:contextualSpacing/>
        <w:jc w:val="both"/>
        <w:rPr>
          <w:b/>
          <w:sz w:val="22"/>
        </w:rPr>
      </w:pPr>
    </w:p>
    <w:p w:rsidR="00BE6C34" w:rsidRDefault="004B54DC" w:rsidP="0036099C">
      <w:pPr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BE6C34">
        <w:rPr>
          <w:sz w:val="22"/>
        </w:rPr>
        <w:t xml:space="preserve">   </w:t>
      </w:r>
      <w:r w:rsidR="00BE6C34" w:rsidRPr="003319BF">
        <w:rPr>
          <w:b/>
          <w:sz w:val="22"/>
        </w:rPr>
        <w:t>Внедрение комплекса кинезеологических упражнений</w:t>
      </w:r>
    </w:p>
    <w:p w:rsidR="00BE6C34" w:rsidRPr="003319BF" w:rsidRDefault="00BE6C34" w:rsidP="0036099C">
      <w:pPr>
        <w:ind w:firstLine="284"/>
        <w:contextualSpacing/>
        <w:jc w:val="both"/>
        <w:rPr>
          <w:b/>
          <w:sz w:val="22"/>
        </w:rPr>
      </w:pPr>
    </w:p>
    <w:p w:rsidR="00BE6C34" w:rsidRPr="004B54DC" w:rsidRDefault="00BE6C34" w:rsidP="0036099C">
      <w:pPr>
        <w:contextualSpacing/>
        <w:jc w:val="both"/>
      </w:pPr>
      <w:r w:rsidRPr="004B54DC">
        <w:rPr>
          <w:b/>
        </w:rPr>
        <w:t xml:space="preserve">                         </w:t>
      </w:r>
      <w:r w:rsidRPr="004B54DC">
        <w:t xml:space="preserve">  Показатели нас немного  удивили. Таким образом, очевидно было, что необходимо использовать средства, которые бы стимулировали работоспособность детей. Одним из таких средств выступают   кинезеологические упражнения, способствующие эффективности учебной деятельности детей.</w:t>
      </w:r>
    </w:p>
    <w:p w:rsidR="00BE6C34" w:rsidRPr="004B54DC" w:rsidRDefault="00BE6C34" w:rsidP="0036099C">
      <w:pPr>
        <w:ind w:firstLine="284"/>
        <w:contextualSpacing/>
        <w:jc w:val="both"/>
        <w:rPr>
          <w:shd w:val="clear" w:color="auto" w:fill="FFFFFF"/>
        </w:rPr>
      </w:pPr>
      <w:r w:rsidRPr="004B54DC">
        <w:t xml:space="preserve">На 2 этапе за основу мы взяли программу   Аллы  Леонидовны Сиротюк, которую автор трактует как технологию “программа формирования нейропсихологического пространства </w:t>
      </w:r>
      <w:r w:rsidRPr="004B54DC">
        <w:lastRenderedPageBreak/>
        <w:t xml:space="preserve">проблемного ребёнка», </w:t>
      </w:r>
      <w:r w:rsidRPr="004B54DC">
        <w:rPr>
          <w:shd w:val="clear" w:color="auto" w:fill="FFFFFF"/>
        </w:rPr>
        <w:t>Семенович А.В. «Нейропсихологическая коррекция в детском возрасте».</w:t>
      </w:r>
    </w:p>
    <w:p w:rsidR="00BE6C34" w:rsidRPr="004B54DC" w:rsidRDefault="00BE6C34" w:rsidP="0036099C">
      <w:pPr>
        <w:ind w:firstLine="284"/>
        <w:contextualSpacing/>
        <w:jc w:val="both"/>
        <w:rPr>
          <w:shd w:val="clear" w:color="auto" w:fill="FFFFFF"/>
        </w:rPr>
      </w:pPr>
      <w:r w:rsidRPr="004B54DC">
        <w:t>Наряду с ними мы  использовали физкультурные минутки для снятия общего напряжения, снятия утомления с глаз, пальчиковая гимнастика,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</w:p>
    <w:p w:rsidR="00BE6C34" w:rsidRPr="004B54DC" w:rsidRDefault="00BE6C34" w:rsidP="0036099C">
      <w:pPr>
        <w:contextualSpacing/>
        <w:jc w:val="both"/>
        <w:rPr>
          <w:shd w:val="clear" w:color="auto" w:fill="FFFFFF"/>
        </w:rPr>
      </w:pPr>
      <w:r w:rsidRPr="004B54DC">
        <w:t>Упражнения  были включены в начало, середину или конец урока. Упражнения проводили ежедневно.  Учились  выполнять упражнение от простого к сложному. После того как обучающиеся научились, выполнять  давали комплекс кинезиологических упражнений, состоящих из трех положений рук последовательно сменяющих друг друга. Дети выполняли вместе с нами, затем самостоятельно по памяти. Упражнение выполняется сначала правой рукой, затем левой, затем двумя руками вместе. При затруднениях предлагалось детям помогать себе командами (“кулак-ребро-ладонь”), произносимыми вслух или про себя.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Активизации всех систем организма, его настройке на работу способствует упражнение “Колечки» положенное на стихотворную основу оно является идеальным на начальном этапе урока.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В первую половину урока мы включали кинезиологический развивающий комплекс, решающий большое количество задач психологического развития. Упражнения вводились по одному, количество повторений одного упражнения от 6 до 10 раз. По освоению комплекса мы его выполняли  6-8 недель. После переходили к следующему комплексу. Таким образом, за учебный год мы реализовали весь кинезиологический цикл.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Возможны варианты использования выученных упражнений комплекса между этапами урока, видами интеллектуальной деятельности (играми, заданиями). Тогда они дают не только развивающий эффект, но и являются профилактикой утомляемости. Особенно хороши для этих целей следующие упражнения: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“Перекрестно-параллельные шаги”, имеющее большое количество вариантов и сюжетных основ, “Медвежье покачивание”, “Слон” или “Ленивая восьмерка”, также имеющие много вариантов.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Во вторую половину урока мы включали упражнения, обеспечивающие энергитизацию мозга, гармонизацию психических процессов. Это упражнения “Массаж трех зон” или “Кнопки мозга”, “Яйцо”, “Дерево”, “Думательный колпак”.</w:t>
      </w:r>
    </w:p>
    <w:p w:rsidR="00BE6C34" w:rsidRPr="004B54DC" w:rsidRDefault="00BE6C34" w:rsidP="0036099C">
      <w:pPr>
        <w:ind w:firstLine="284"/>
        <w:contextualSpacing/>
        <w:jc w:val="both"/>
      </w:pPr>
      <w:r w:rsidRPr="004B54DC">
        <w:t>Упражнение “Паровозик” включали в заключительную часть урока, либо после введения нового информационного блока, так как основная задача упражнения – интеграция нового опыта с прошлым.</w:t>
      </w:r>
    </w:p>
    <w:p w:rsidR="00BE6C34" w:rsidRPr="004B54DC" w:rsidRDefault="00BE6C34" w:rsidP="0036099C">
      <w:pPr>
        <w:tabs>
          <w:tab w:val="num" w:pos="0"/>
        </w:tabs>
        <w:jc w:val="both"/>
      </w:pPr>
      <w:r w:rsidRPr="004B54DC">
        <w:t>Повышение уровня работоспособности обучающихся с помощью кинезеологических упражнений также проводилась на занятиях с психологом. Внедрение в процесс  здоровьесберегающих технологий, направленных на повышения качества обучения мы  разделили  на три  этапа.</w:t>
      </w:r>
    </w:p>
    <w:p w:rsidR="00BE6C34" w:rsidRPr="004B54DC" w:rsidRDefault="00BE6C34" w:rsidP="0036099C">
      <w:pPr>
        <w:tabs>
          <w:tab w:val="num" w:pos="0"/>
        </w:tabs>
        <w:jc w:val="both"/>
      </w:pPr>
    </w:p>
    <w:p w:rsidR="00BE6C34" w:rsidRPr="003319BF" w:rsidRDefault="00BE6C34" w:rsidP="0036099C">
      <w:pPr>
        <w:pStyle w:val="a3"/>
        <w:ind w:firstLine="284"/>
        <w:contextualSpacing/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</w:t>
      </w:r>
      <w:r w:rsidRPr="003319BF">
        <w:rPr>
          <w:b/>
          <w:sz w:val="22"/>
        </w:rPr>
        <w:t>Результаты совместной работы</w:t>
      </w:r>
    </w:p>
    <w:p w:rsidR="00BE6C34" w:rsidRPr="003319BF" w:rsidRDefault="00BE6C34" w:rsidP="0036099C">
      <w:pPr>
        <w:pStyle w:val="a3"/>
        <w:ind w:firstLine="284"/>
        <w:contextualSpacing/>
        <w:jc w:val="both"/>
        <w:rPr>
          <w:b/>
          <w:sz w:val="22"/>
        </w:rPr>
      </w:pPr>
    </w:p>
    <w:p w:rsidR="00BE6C34" w:rsidRPr="003319BF" w:rsidRDefault="00BE6C34" w:rsidP="0036099C">
      <w:pPr>
        <w:pStyle w:val="a3"/>
        <w:ind w:firstLine="284"/>
        <w:contextualSpacing/>
        <w:jc w:val="both"/>
        <w:rPr>
          <w:sz w:val="22"/>
        </w:rPr>
      </w:pPr>
      <w:r w:rsidRPr="003319BF">
        <w:rPr>
          <w:sz w:val="22"/>
        </w:rPr>
        <w:t>Анализ результатов повторного обследования умственной работоспособности обучающихся показал, что у детей возросли показатели скорости переработки информации _________________; средней продуктивности ______; точности _____. Было установлено, что у 5 обучающихся повышение умственной работоспособности по перечисленным показателям.</w:t>
      </w:r>
    </w:p>
    <w:p w:rsidR="00BE6C34" w:rsidRDefault="00BE6C34" w:rsidP="0036099C">
      <w:pPr>
        <w:ind w:left="-180" w:firstLine="180"/>
        <w:jc w:val="both"/>
        <w:rPr>
          <w:sz w:val="22"/>
        </w:rPr>
      </w:pPr>
      <w:r w:rsidRPr="003319BF">
        <w:rPr>
          <w:sz w:val="22"/>
        </w:rPr>
        <w:t>Анализ четвертных контрольных работ обучающихся показал повышение показателей качества знаний, уровня обученности и среднего балла. Ре</w:t>
      </w:r>
      <w:r>
        <w:rPr>
          <w:sz w:val="22"/>
        </w:rPr>
        <w:t>зультаты показаны в диаграмме</w:t>
      </w:r>
      <w:r w:rsidRPr="003319BF">
        <w:rPr>
          <w:sz w:val="22"/>
        </w:rPr>
        <w:t xml:space="preserve"> отмечается повышение</w:t>
      </w:r>
      <w:r w:rsidRPr="003319BF">
        <w:rPr>
          <w:b/>
          <w:sz w:val="22"/>
        </w:rPr>
        <w:t xml:space="preserve"> </w:t>
      </w:r>
      <w:r w:rsidRPr="003319BF">
        <w:rPr>
          <w:sz w:val="22"/>
        </w:rPr>
        <w:t>уровня качества знаний учащихся 5 классе.</w:t>
      </w:r>
    </w:p>
    <w:p w:rsidR="00BE6C34" w:rsidRPr="003319BF" w:rsidRDefault="00BE6C34" w:rsidP="0036099C">
      <w:pPr>
        <w:ind w:left="-180" w:firstLine="180"/>
        <w:jc w:val="both"/>
        <w:rPr>
          <w:sz w:val="22"/>
        </w:rPr>
      </w:pPr>
    </w:p>
    <w:p w:rsidR="00BE6C34" w:rsidRPr="003319BF" w:rsidRDefault="00BE6C34" w:rsidP="0036099C">
      <w:pPr>
        <w:jc w:val="both"/>
        <w:rPr>
          <w:sz w:val="22"/>
        </w:rPr>
      </w:pPr>
    </w:p>
    <w:p w:rsidR="00BE6C34" w:rsidRPr="004B54DC" w:rsidRDefault="00BE6C34" w:rsidP="0036099C">
      <w:pPr>
        <w:pStyle w:val="a3"/>
        <w:ind w:firstLine="284"/>
        <w:contextualSpacing/>
        <w:jc w:val="both"/>
      </w:pPr>
      <w:r w:rsidRPr="004B54DC">
        <w:t>Результаты контрольных работ  по основным предметам</w:t>
      </w:r>
    </w:p>
    <w:p w:rsidR="00BE6C34" w:rsidRPr="004B54DC" w:rsidRDefault="00BE6C34" w:rsidP="0036099C">
      <w:pPr>
        <w:pStyle w:val="a3"/>
        <w:ind w:firstLine="284"/>
        <w:contextualSpacing/>
        <w:jc w:val="both"/>
        <w:rPr>
          <w:b/>
          <w:sz w:val="20"/>
        </w:rPr>
      </w:pPr>
    </w:p>
    <w:p w:rsidR="00BE6C34" w:rsidRPr="003319BF" w:rsidRDefault="00BE6C34" w:rsidP="0036099C">
      <w:pPr>
        <w:pStyle w:val="a3"/>
        <w:ind w:firstLine="284"/>
        <w:contextualSpacing/>
        <w:jc w:val="both"/>
        <w:rPr>
          <w:b/>
          <w:sz w:val="22"/>
        </w:rPr>
      </w:pPr>
      <w:r>
        <w:rPr>
          <w:b/>
          <w:sz w:val="22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6C34" w:rsidRPr="003319BF" w:rsidRDefault="00BE6C34" w:rsidP="0036099C">
      <w:pPr>
        <w:pStyle w:val="a3"/>
        <w:ind w:firstLine="284"/>
        <w:contextualSpacing/>
        <w:jc w:val="both"/>
        <w:rPr>
          <w:b/>
          <w:sz w:val="22"/>
        </w:rPr>
      </w:pPr>
    </w:p>
    <w:p w:rsidR="00BE6C34" w:rsidRPr="002B1875" w:rsidRDefault="004B54DC" w:rsidP="0036099C">
      <w:pPr>
        <w:shd w:val="clear" w:color="auto" w:fill="FFFFFF"/>
        <w:spacing w:after="127"/>
        <w:jc w:val="both"/>
      </w:pPr>
      <w:r>
        <w:t xml:space="preserve"> </w:t>
      </w:r>
    </w:p>
    <w:p w:rsidR="00BE6C34" w:rsidRPr="002B1875" w:rsidRDefault="00BE6C34" w:rsidP="0036099C">
      <w:pPr>
        <w:shd w:val="clear" w:color="auto" w:fill="FFFFFF"/>
        <w:spacing w:after="127" w:line="253" w:lineRule="atLeast"/>
        <w:jc w:val="both"/>
        <w:rPr>
          <w:color w:val="333333"/>
        </w:rPr>
      </w:pPr>
      <w:r w:rsidRPr="002B1875">
        <w:t>Решая задачи исследования, мы убедились в том, что здоровьесберегающие технологии можно рассматривать и как одну из самых перспективных систем XXI века, и как совокупность приёмов, форм и методов организации обучения, без ущерба для здоровья детей, и как качественную характеристику повышения работоспособности в учебно-воспитательном</w:t>
      </w:r>
      <w:r w:rsidR="00DC3EF5">
        <w:t xml:space="preserve"> процессе в целом.</w:t>
      </w:r>
      <w:r w:rsidRPr="002B1875">
        <w:t xml:space="preserve">  В ходе изучения данной проблемы нами  выделены основные компоненты умственной работоспособности детей с интеллектуальной недостаточностью. Своеобразие умственной работоспособности детей со снижением интеллекта состоит в замедленности реакций, расстройствах внимания и повышенной утомляемости, что затрудняет выполне</w:t>
      </w:r>
      <w:r w:rsidR="00DC3EF5">
        <w:t xml:space="preserve">ние учебной работы. </w:t>
      </w:r>
      <w:r w:rsidRPr="002B1875">
        <w:t>Этот аргумент был полностью подтверждён в ходе диагностирования особенностей и уровней умственной работоспособности, проведенной на базе экспериментального класса школы-интерната, что выступило второй задачей исследования. Серьёзные нарушения динамики умственной работоспособности учеников обусловлены недоразвитием их познавательной сферы и патологической слабостью произвольной регуляции волевых усилий. Для решения следующей задачи были внедрены элементы  кинезеологических уп</w:t>
      </w:r>
      <w:r w:rsidRPr="002B1875">
        <w:rPr>
          <w:color w:val="333333"/>
        </w:rPr>
        <w:t>ражнений которые подтвердили хоть и небольшую, но положительную динамику в повышении работоспособности на уроке. В настоящее время многими авторами указывается, что повышение умственной работоспособности под влиянием физических упражнений носит не преходящий, а закономерный характер. В целом, для того, чтобы поддерживать хорошую умственную форму у детей, необходимо следить  за их физическим состоянием. И коротко суть вопроса можно сформулировать так: всё, что полезно для здоровья, хорошо и для умственной работоспособности и, нао</w:t>
      </w:r>
      <w:r>
        <w:rPr>
          <w:color w:val="333333"/>
        </w:rPr>
        <w:t>борот</w:t>
      </w:r>
      <w:r w:rsidRPr="00AF5D7C">
        <w:rPr>
          <w:color w:val="333333"/>
          <w:sz w:val="32"/>
          <w:szCs w:val="21"/>
        </w:rPr>
        <w:t xml:space="preserve">. </w:t>
      </w:r>
      <w:r w:rsidRPr="002B1875">
        <w:rPr>
          <w:color w:val="333333"/>
        </w:rPr>
        <w:t>Таким образом, задачи работы решены, гипотеза подтверждена, но работа не ограничивается данными исследованиями и будет продолжаться в педагогической практике.</w:t>
      </w:r>
    </w:p>
    <w:p w:rsidR="00FB0449" w:rsidRDefault="00FB0449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</w:p>
    <w:p w:rsidR="00FB0449" w:rsidRDefault="00FB0449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</w:p>
    <w:p w:rsidR="00FB0449" w:rsidRDefault="00FB0449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</w:p>
    <w:p w:rsidR="00FB0449" w:rsidRDefault="00FB0449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</w:p>
    <w:p w:rsidR="00FB0449" w:rsidRDefault="00FB0449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</w:p>
    <w:p w:rsidR="00BE6C34" w:rsidRPr="002B1875" w:rsidRDefault="00BE6C34" w:rsidP="0036099C">
      <w:pPr>
        <w:spacing w:after="127" w:line="253" w:lineRule="atLeast"/>
        <w:jc w:val="both"/>
        <w:rPr>
          <w:b/>
          <w:bCs/>
          <w:color w:val="333333"/>
          <w:shd w:val="clear" w:color="auto" w:fill="FFFFFF"/>
        </w:rPr>
      </w:pPr>
      <w:r w:rsidRPr="002B1875">
        <w:rPr>
          <w:b/>
          <w:bCs/>
          <w:color w:val="333333"/>
          <w:shd w:val="clear" w:color="auto" w:fill="FFFFFF"/>
        </w:rPr>
        <w:lastRenderedPageBreak/>
        <w:t>Список литературы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Антропова М. В. Работоспособность учащихся и её динамика в процессе учебной и трудовой деятельности. - М.: Просвещение, 1968 г.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Базарный В. Ф. Методология и методика раскрепощения нейрофизиологической основы психического и физического развития учащихся в структурах учебного процесса. – Сергиев Посад, 1995 г.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Базарный В.Ф. Повышение эффективности становления психомоторных функций в процессе развития и обучения детей с помощью произвольных ритмов телесных усилий. – Сергиев Посад, 1996 г.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Базарный В. Ф. Нервно – психическое утомление учащихся в традиционной школьной среде. – Сергиев Посад, 1995 г.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Желтухина Е. Л. “Способы повышения умственной работоспособности. Профилактика утомления органов зрения и слуха”- // Школа здоровья – 2002 г.- №4 – с. 55-59.</w:t>
      </w:r>
    </w:p>
    <w:p w:rsidR="00BE6C34" w:rsidRPr="002B1875" w:rsidRDefault="00BE6C34" w:rsidP="0036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  <w:r w:rsidRPr="002B1875">
        <w:rPr>
          <w:rFonts w:ascii="Helvetica" w:hAnsi="Helvetica" w:cs="Helvetica"/>
          <w:color w:val="333333"/>
        </w:rPr>
        <w:t>Ковалько В. И. Здоровьесберегающие технологии: школьник и компьютер. – М.: Вако, 2007 г.</w:t>
      </w:r>
    </w:p>
    <w:p w:rsidR="00BE6C34" w:rsidRPr="002B1875" w:rsidRDefault="00BE6C34" w:rsidP="0036099C">
      <w:pPr>
        <w:shd w:val="clear" w:color="auto" w:fill="FFFFFF"/>
        <w:spacing w:before="100" w:beforeAutospacing="1" w:after="100" w:afterAutospacing="1" w:line="253" w:lineRule="atLeast"/>
        <w:ind w:left="396"/>
        <w:jc w:val="both"/>
        <w:rPr>
          <w:rFonts w:ascii="Helvetica" w:hAnsi="Helvetica" w:cs="Helvetica"/>
          <w:color w:val="333333"/>
        </w:rPr>
      </w:pPr>
    </w:p>
    <w:p w:rsidR="00BE6C34" w:rsidRPr="002B1875" w:rsidRDefault="00BE6C34" w:rsidP="0036099C">
      <w:pPr>
        <w:jc w:val="both"/>
      </w:pPr>
    </w:p>
    <w:p w:rsidR="00912FA9" w:rsidRDefault="00912FA9" w:rsidP="0036099C">
      <w:pPr>
        <w:jc w:val="both"/>
      </w:pPr>
    </w:p>
    <w:sectPr w:rsidR="00912FA9" w:rsidSect="009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C93"/>
    <w:multiLevelType w:val="multilevel"/>
    <w:tmpl w:val="B59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43FD8"/>
    <w:multiLevelType w:val="multilevel"/>
    <w:tmpl w:val="E494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164F"/>
    <w:multiLevelType w:val="multilevel"/>
    <w:tmpl w:val="F98C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14A40"/>
    <w:multiLevelType w:val="hybridMultilevel"/>
    <w:tmpl w:val="712E5FE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BE6C34"/>
    <w:rsid w:val="001421AB"/>
    <w:rsid w:val="00195FA5"/>
    <w:rsid w:val="00262EFD"/>
    <w:rsid w:val="0036099C"/>
    <w:rsid w:val="00396C89"/>
    <w:rsid w:val="004B54DC"/>
    <w:rsid w:val="00525221"/>
    <w:rsid w:val="00912FA9"/>
    <w:rsid w:val="00BE6C34"/>
    <w:rsid w:val="00DC3EF5"/>
    <w:rsid w:val="00E63500"/>
    <w:rsid w:val="00F25EAA"/>
    <w:rsid w:val="00F57801"/>
    <w:rsid w:val="00FB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4"/>
    <w:pPr>
      <w:ind w:left="0"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6C34"/>
  </w:style>
  <w:style w:type="character" w:customStyle="1" w:styleId="a4">
    <w:name w:val="Без интервала Знак"/>
    <w:basedOn w:val="a0"/>
    <w:link w:val="a3"/>
    <w:uiPriority w:val="1"/>
    <w:rsid w:val="00BE6C3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34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6C34"/>
    <w:pPr>
      <w:ind w:left="720"/>
      <w:contextualSpacing/>
    </w:pPr>
  </w:style>
  <w:style w:type="paragraph" w:customStyle="1" w:styleId="Default">
    <w:name w:val="Default"/>
    <w:rsid w:val="00BE6C34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1-3 четверти</a:t>
            </a:r>
          </a:p>
          <a:p>
            <a:pPr>
              <a:defRPr/>
            </a:pPr>
            <a:r>
              <a:rPr lang="ru-RU" sz="1400"/>
              <a:t>2014  -  2015уч.г</a:t>
            </a:r>
          </a:p>
        </c:rich>
      </c:tx>
      <c:layout>
        <c:manualLayout>
          <c:xMode val="edge"/>
          <c:yMode val="edge"/>
          <c:x val="0.43186916739574266"/>
          <c:y val="3.57142857142857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51</c:v>
                </c:pt>
                <c:pt idx="3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66</c:v>
                </c:pt>
                <c:pt idx="2">
                  <c:v>56</c:v>
                </c:pt>
                <c:pt idx="3">
                  <c:v>3.7</c:v>
                </c:pt>
              </c:numCache>
            </c:numRef>
          </c:val>
        </c:ser>
        <c:shape val="cylinder"/>
        <c:axId val="91236992"/>
        <c:axId val="95880704"/>
        <c:axId val="0"/>
      </c:bar3DChart>
      <c:catAx>
        <c:axId val="91236992"/>
        <c:scaling>
          <c:orientation val="minMax"/>
        </c:scaling>
        <c:axPos val="b"/>
        <c:majorTickMark val="none"/>
        <c:tickLblPos val="nextTo"/>
        <c:crossAx val="95880704"/>
        <c:crosses val="autoZero"/>
        <c:auto val="1"/>
        <c:lblAlgn val="ctr"/>
        <c:lblOffset val="100"/>
      </c:catAx>
      <c:valAx>
        <c:axId val="9588070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1236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2015-04-28T07:50:00Z</dcterms:created>
  <dcterms:modified xsi:type="dcterms:W3CDTF">2015-05-03T14:38:00Z</dcterms:modified>
</cp:coreProperties>
</file>