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60" w:rsidRDefault="00CE0258" w:rsidP="000727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CE0258" w:rsidRDefault="00CE0258" w:rsidP="000727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E0258" w:rsidRDefault="00CE0258" w:rsidP="000727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258">
        <w:rPr>
          <w:rFonts w:ascii="Times New Roman" w:hAnsi="Times New Roman" w:cs="Times New Roman"/>
          <w:sz w:val="28"/>
          <w:szCs w:val="28"/>
        </w:rPr>
        <w:t>ТОГАОУ «Мичуринский лицей»</w:t>
      </w:r>
    </w:p>
    <w:p w:rsidR="0021697B" w:rsidRDefault="0021697B" w:rsidP="004C5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выбор</w:t>
      </w:r>
    </w:p>
    <w:p w:rsidR="0021697B" w:rsidRDefault="0021697B" w:rsidP="004C5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профиля и профессии</w:t>
      </w:r>
    </w:p>
    <w:p w:rsidR="00072784" w:rsidRPr="00072784" w:rsidRDefault="00072784" w:rsidP="004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84">
        <w:rPr>
          <w:rFonts w:ascii="Times New Roman" w:hAnsi="Times New Roman" w:cs="Times New Roman"/>
          <w:sz w:val="28"/>
          <w:szCs w:val="28"/>
        </w:rPr>
        <w:t xml:space="preserve">Настоящих специалистов, работающих с энтузиазмом и постоянно повышающих свой профессиональный уровень самостоятельно все меньше. Возможно, одной из причин является неверный выбор профессии в юности. </w:t>
      </w:r>
    </w:p>
    <w:p w:rsidR="00072784" w:rsidRPr="00072784" w:rsidRDefault="00072784" w:rsidP="0007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84">
        <w:rPr>
          <w:rFonts w:ascii="Times New Roman" w:hAnsi="Times New Roman" w:cs="Times New Roman"/>
          <w:sz w:val="28"/>
          <w:szCs w:val="28"/>
        </w:rPr>
        <w:t>Мир профессий очень велик. Старшеклассника манят десятки специальностей. Разные виды труда требуют от человека разных и подчас противоречивых качеств. Когда тебе 17 лет, разобраться в разнообразии своих л</w:t>
      </w:r>
      <w:r w:rsidR="0021697B">
        <w:rPr>
          <w:rFonts w:ascii="Times New Roman" w:hAnsi="Times New Roman" w:cs="Times New Roman"/>
          <w:sz w:val="28"/>
          <w:szCs w:val="28"/>
        </w:rPr>
        <w:t>ичностных качеств, способностей</w:t>
      </w:r>
      <w:r w:rsidRPr="00072784">
        <w:rPr>
          <w:rFonts w:ascii="Times New Roman" w:hAnsi="Times New Roman" w:cs="Times New Roman"/>
          <w:sz w:val="28"/>
          <w:szCs w:val="28"/>
        </w:rPr>
        <w:t xml:space="preserve"> нелегко.</w:t>
      </w:r>
      <w:r w:rsidR="00C0203D">
        <w:rPr>
          <w:rFonts w:ascii="Times New Roman" w:hAnsi="Times New Roman" w:cs="Times New Roman"/>
          <w:sz w:val="28"/>
          <w:szCs w:val="28"/>
        </w:rPr>
        <w:t xml:space="preserve"> О</w:t>
      </w:r>
      <w:r w:rsidRPr="00072784">
        <w:rPr>
          <w:rFonts w:ascii="Times New Roman" w:hAnsi="Times New Roman" w:cs="Times New Roman"/>
          <w:sz w:val="28"/>
          <w:szCs w:val="28"/>
        </w:rPr>
        <w:t>т того, насколько правильно выбран жизненный путь, зависит общественная ценность человека, его место среди других людей, удовлетворенность работой, физическое и нервно-психическое здоровье.</w:t>
      </w:r>
    </w:p>
    <w:p w:rsidR="00072784" w:rsidRPr="00072784" w:rsidRDefault="00072784" w:rsidP="0007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84">
        <w:rPr>
          <w:rFonts w:ascii="Times New Roman" w:hAnsi="Times New Roman" w:cs="Times New Roman"/>
          <w:sz w:val="28"/>
          <w:szCs w:val="28"/>
        </w:rPr>
        <w:t>Лишь 4,4% одиннадцатиклассников</w:t>
      </w:r>
      <w:r w:rsidR="00AC2280" w:rsidRPr="00AC2280">
        <w:rPr>
          <w:rFonts w:ascii="Times New Roman" w:hAnsi="Times New Roman" w:cs="Times New Roman"/>
          <w:sz w:val="28"/>
          <w:szCs w:val="28"/>
        </w:rPr>
        <w:t xml:space="preserve"> </w:t>
      </w:r>
      <w:r w:rsidR="00AC2280" w:rsidRPr="00072784">
        <w:rPr>
          <w:rFonts w:ascii="Times New Roman" w:hAnsi="Times New Roman" w:cs="Times New Roman"/>
          <w:sz w:val="28"/>
          <w:szCs w:val="28"/>
        </w:rPr>
        <w:t>петербургских школ</w:t>
      </w:r>
      <w:r w:rsidRPr="00072784">
        <w:rPr>
          <w:rFonts w:ascii="Times New Roman" w:hAnsi="Times New Roman" w:cs="Times New Roman"/>
          <w:sz w:val="28"/>
          <w:szCs w:val="28"/>
        </w:rPr>
        <w:t xml:space="preserve"> не испытывают сегодня никаких трудностей в выборе профессии (исследовани</w:t>
      </w:r>
      <w:r w:rsidR="00C0203D">
        <w:rPr>
          <w:rFonts w:ascii="Times New Roman" w:hAnsi="Times New Roman" w:cs="Times New Roman"/>
          <w:sz w:val="28"/>
          <w:szCs w:val="28"/>
        </w:rPr>
        <w:t>я</w:t>
      </w:r>
      <w:r w:rsidRPr="00072784">
        <w:rPr>
          <w:rFonts w:ascii="Times New Roman" w:hAnsi="Times New Roman" w:cs="Times New Roman"/>
          <w:sz w:val="28"/>
          <w:szCs w:val="28"/>
        </w:rPr>
        <w:t xml:space="preserve"> центра «В</w:t>
      </w:r>
      <w:r w:rsidR="00AC2280">
        <w:rPr>
          <w:rFonts w:ascii="Times New Roman" w:hAnsi="Times New Roman" w:cs="Times New Roman"/>
          <w:sz w:val="28"/>
          <w:szCs w:val="28"/>
        </w:rPr>
        <w:t>ектор»</w:t>
      </w:r>
      <w:r w:rsidRPr="00072784">
        <w:rPr>
          <w:rFonts w:ascii="Times New Roman" w:hAnsi="Times New Roman" w:cs="Times New Roman"/>
          <w:sz w:val="28"/>
          <w:szCs w:val="28"/>
        </w:rPr>
        <w:t xml:space="preserve">). Специалисты опросили </w:t>
      </w:r>
      <w:r w:rsidR="004C5171">
        <w:rPr>
          <w:rFonts w:ascii="Times New Roman" w:hAnsi="Times New Roman" w:cs="Times New Roman"/>
          <w:sz w:val="28"/>
          <w:szCs w:val="28"/>
        </w:rPr>
        <w:t>об</w:t>
      </w:r>
      <w:r w:rsidRPr="00072784">
        <w:rPr>
          <w:rFonts w:ascii="Times New Roman" w:hAnsi="Times New Roman" w:cs="Times New Roman"/>
          <w:sz w:val="28"/>
          <w:szCs w:val="28"/>
        </w:rPr>
        <w:t>уча</w:t>
      </w:r>
      <w:r w:rsidR="004C5171">
        <w:rPr>
          <w:rFonts w:ascii="Times New Roman" w:hAnsi="Times New Roman" w:cs="Times New Roman"/>
          <w:sz w:val="28"/>
          <w:szCs w:val="28"/>
        </w:rPr>
        <w:t>ю</w:t>
      </w:r>
      <w:r w:rsidRPr="00072784">
        <w:rPr>
          <w:rFonts w:ascii="Times New Roman" w:hAnsi="Times New Roman" w:cs="Times New Roman"/>
          <w:sz w:val="28"/>
          <w:szCs w:val="28"/>
        </w:rPr>
        <w:t xml:space="preserve">щихся одиннадцати учебных заведений. </w:t>
      </w:r>
      <w:r w:rsidR="00C0203D" w:rsidRPr="00072784">
        <w:rPr>
          <w:rFonts w:ascii="Times New Roman" w:hAnsi="Times New Roman" w:cs="Times New Roman"/>
          <w:sz w:val="28"/>
          <w:szCs w:val="28"/>
        </w:rPr>
        <w:t>41% опрошенных</w:t>
      </w:r>
      <w:r w:rsidRPr="00072784">
        <w:rPr>
          <w:rFonts w:ascii="Times New Roman" w:hAnsi="Times New Roman" w:cs="Times New Roman"/>
          <w:sz w:val="28"/>
          <w:szCs w:val="28"/>
        </w:rPr>
        <w:t>, выбирая профессию, сталкиваются с тем, что не знают</w:t>
      </w:r>
      <w:r w:rsidR="00C0203D">
        <w:rPr>
          <w:rFonts w:ascii="Times New Roman" w:hAnsi="Times New Roman" w:cs="Times New Roman"/>
          <w:sz w:val="28"/>
          <w:szCs w:val="28"/>
        </w:rPr>
        <w:t xml:space="preserve">, какая же им подходит. </w:t>
      </w:r>
      <w:r w:rsidRPr="00072784">
        <w:rPr>
          <w:rFonts w:ascii="Times New Roman" w:hAnsi="Times New Roman" w:cs="Times New Roman"/>
          <w:sz w:val="28"/>
          <w:szCs w:val="28"/>
        </w:rPr>
        <w:t xml:space="preserve">При этом лишь 0,4% обращаются за помощью к </w:t>
      </w:r>
      <w:r w:rsidR="0021697B">
        <w:rPr>
          <w:rFonts w:ascii="Times New Roman" w:hAnsi="Times New Roman" w:cs="Times New Roman"/>
          <w:sz w:val="28"/>
          <w:szCs w:val="28"/>
        </w:rPr>
        <w:t>специалистам</w:t>
      </w:r>
      <w:r w:rsidRPr="00072784">
        <w:rPr>
          <w:rFonts w:ascii="Times New Roman" w:hAnsi="Times New Roman" w:cs="Times New Roman"/>
          <w:sz w:val="28"/>
          <w:szCs w:val="28"/>
        </w:rPr>
        <w:t>; большинство (более 73% школьников) полагаются на собственные силы, и чуть менее половины (45%) советуются с родителями.</w:t>
      </w:r>
    </w:p>
    <w:p w:rsidR="00072784" w:rsidRPr="00072784" w:rsidRDefault="00072784" w:rsidP="0007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84">
        <w:rPr>
          <w:rFonts w:ascii="Times New Roman" w:hAnsi="Times New Roman" w:cs="Times New Roman"/>
          <w:sz w:val="28"/>
          <w:szCs w:val="28"/>
        </w:rPr>
        <w:t xml:space="preserve">Для многих юношей и девушек время обучения в старших классах – период интенсивных размышлений о будущем. Одни стараются перевести мечтания в действия, другие думают о соответствии своих возможностей требованиям профессии, </w:t>
      </w:r>
      <w:r w:rsidR="0021697B">
        <w:rPr>
          <w:rFonts w:ascii="Times New Roman" w:hAnsi="Times New Roman" w:cs="Times New Roman"/>
          <w:sz w:val="28"/>
          <w:szCs w:val="28"/>
        </w:rPr>
        <w:t>т</w:t>
      </w:r>
      <w:r w:rsidR="0021697B" w:rsidRPr="00072784">
        <w:rPr>
          <w:rFonts w:ascii="Times New Roman" w:hAnsi="Times New Roman" w:cs="Times New Roman"/>
          <w:sz w:val="28"/>
          <w:szCs w:val="28"/>
        </w:rPr>
        <w:t>ретьи</w:t>
      </w:r>
      <w:r w:rsidRPr="00072784">
        <w:rPr>
          <w:rFonts w:ascii="Times New Roman" w:hAnsi="Times New Roman" w:cs="Times New Roman"/>
          <w:sz w:val="28"/>
          <w:szCs w:val="28"/>
        </w:rPr>
        <w:t xml:space="preserve"> – собирают информацию о привлекающей профессии и учебном заведении, где ее </w:t>
      </w:r>
      <w:r w:rsidR="007F243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072784">
        <w:rPr>
          <w:rFonts w:ascii="Times New Roman" w:hAnsi="Times New Roman" w:cs="Times New Roman"/>
          <w:sz w:val="28"/>
          <w:szCs w:val="28"/>
        </w:rPr>
        <w:t>получ</w:t>
      </w:r>
      <w:r w:rsidR="007F2437">
        <w:rPr>
          <w:rFonts w:ascii="Times New Roman" w:hAnsi="Times New Roman" w:cs="Times New Roman"/>
          <w:sz w:val="28"/>
          <w:szCs w:val="28"/>
        </w:rPr>
        <w:t>и</w:t>
      </w:r>
      <w:r w:rsidRPr="00072784">
        <w:rPr>
          <w:rFonts w:ascii="Times New Roman" w:hAnsi="Times New Roman" w:cs="Times New Roman"/>
          <w:sz w:val="28"/>
          <w:szCs w:val="28"/>
        </w:rPr>
        <w:t>т</w:t>
      </w:r>
      <w:r w:rsidR="007F2437">
        <w:rPr>
          <w:rFonts w:ascii="Times New Roman" w:hAnsi="Times New Roman" w:cs="Times New Roman"/>
          <w:sz w:val="28"/>
          <w:szCs w:val="28"/>
        </w:rPr>
        <w:t>ь</w:t>
      </w:r>
      <w:r w:rsidRPr="00072784">
        <w:rPr>
          <w:rFonts w:ascii="Times New Roman" w:hAnsi="Times New Roman" w:cs="Times New Roman"/>
          <w:sz w:val="28"/>
          <w:szCs w:val="28"/>
        </w:rPr>
        <w:t xml:space="preserve">. Периодически возникают споры и разногласия с родителями относительно разных профессий и того, где именно продолжать </w:t>
      </w:r>
      <w:r w:rsidR="004C5171">
        <w:rPr>
          <w:rFonts w:ascii="Times New Roman" w:hAnsi="Times New Roman" w:cs="Times New Roman"/>
          <w:sz w:val="28"/>
          <w:szCs w:val="28"/>
        </w:rPr>
        <w:t>об</w:t>
      </w:r>
      <w:r w:rsidRPr="00072784">
        <w:rPr>
          <w:rFonts w:ascii="Times New Roman" w:hAnsi="Times New Roman" w:cs="Times New Roman"/>
          <w:sz w:val="28"/>
          <w:szCs w:val="28"/>
        </w:rPr>
        <w:t xml:space="preserve">учение. </w:t>
      </w:r>
      <w:r w:rsidR="00C0203D">
        <w:rPr>
          <w:rFonts w:ascii="Times New Roman" w:hAnsi="Times New Roman" w:cs="Times New Roman"/>
          <w:sz w:val="28"/>
          <w:szCs w:val="28"/>
        </w:rPr>
        <w:t>Ч</w:t>
      </w:r>
      <w:r w:rsidRPr="00072784">
        <w:rPr>
          <w:rFonts w:ascii="Times New Roman" w:hAnsi="Times New Roman" w:cs="Times New Roman"/>
          <w:sz w:val="28"/>
          <w:szCs w:val="28"/>
        </w:rPr>
        <w:t>асто родители предоставляют ребенку полную свободу выбора, требуя тем самым от него самостоятельности, ответственности, инициативы</w:t>
      </w:r>
      <w:r w:rsidR="004C5171">
        <w:rPr>
          <w:rFonts w:ascii="Times New Roman" w:hAnsi="Times New Roman" w:cs="Times New Roman"/>
          <w:sz w:val="28"/>
          <w:szCs w:val="28"/>
        </w:rPr>
        <w:t>.</w:t>
      </w:r>
      <w:r w:rsidRPr="00072784">
        <w:rPr>
          <w:rFonts w:ascii="Times New Roman" w:hAnsi="Times New Roman" w:cs="Times New Roman"/>
          <w:sz w:val="28"/>
          <w:szCs w:val="28"/>
        </w:rPr>
        <w:t xml:space="preserve"> </w:t>
      </w:r>
      <w:r w:rsidR="004C5171">
        <w:rPr>
          <w:rFonts w:ascii="Times New Roman" w:hAnsi="Times New Roman" w:cs="Times New Roman"/>
          <w:sz w:val="28"/>
          <w:szCs w:val="28"/>
        </w:rPr>
        <w:t>И</w:t>
      </w:r>
      <w:r w:rsidRPr="00072784">
        <w:rPr>
          <w:rFonts w:ascii="Times New Roman" w:hAnsi="Times New Roman" w:cs="Times New Roman"/>
          <w:sz w:val="28"/>
          <w:szCs w:val="28"/>
        </w:rPr>
        <w:t xml:space="preserve">ногда  дети соглашаются с выбором родителей, рассчитывая на помощь </w:t>
      </w:r>
      <w:r w:rsidR="004C5171">
        <w:rPr>
          <w:rFonts w:ascii="Times New Roman" w:hAnsi="Times New Roman" w:cs="Times New Roman"/>
          <w:sz w:val="28"/>
          <w:szCs w:val="28"/>
        </w:rPr>
        <w:t>близких при поступлении в какое-</w:t>
      </w:r>
      <w:r w:rsidRPr="00072784">
        <w:rPr>
          <w:rFonts w:ascii="Times New Roman" w:hAnsi="Times New Roman" w:cs="Times New Roman"/>
          <w:sz w:val="28"/>
          <w:szCs w:val="28"/>
        </w:rPr>
        <w:t xml:space="preserve">либо учебное заведение. При этом </w:t>
      </w:r>
      <w:r w:rsidR="00C0203D">
        <w:rPr>
          <w:rFonts w:ascii="Times New Roman" w:hAnsi="Times New Roman" w:cs="Times New Roman"/>
          <w:sz w:val="28"/>
          <w:szCs w:val="28"/>
        </w:rPr>
        <w:t>выпускники</w:t>
      </w:r>
      <w:r w:rsidRPr="00072784">
        <w:rPr>
          <w:rFonts w:ascii="Times New Roman" w:hAnsi="Times New Roman" w:cs="Times New Roman"/>
          <w:sz w:val="28"/>
          <w:szCs w:val="28"/>
        </w:rPr>
        <w:t xml:space="preserve"> забывают, что работать по данной специальности придется им, а не их родителям.</w:t>
      </w:r>
    </w:p>
    <w:p w:rsidR="00072784" w:rsidRPr="00131C39" w:rsidRDefault="00AC2280" w:rsidP="0063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84">
        <w:rPr>
          <w:rFonts w:ascii="Times New Roman" w:hAnsi="Times New Roman" w:cs="Times New Roman"/>
          <w:sz w:val="28"/>
          <w:szCs w:val="28"/>
        </w:rPr>
        <w:t>Многое может стимулировать появление интереса к определенной профессии: учение, люди, книги, телевидение.</w:t>
      </w:r>
      <w:r w:rsidRPr="00AC2280">
        <w:rPr>
          <w:rFonts w:ascii="Times New Roman" w:hAnsi="Times New Roman" w:cs="Times New Roman"/>
          <w:sz w:val="28"/>
          <w:szCs w:val="28"/>
        </w:rPr>
        <w:t xml:space="preserve"> </w:t>
      </w:r>
      <w:r w:rsidRPr="00072784">
        <w:rPr>
          <w:rFonts w:ascii="Times New Roman" w:hAnsi="Times New Roman" w:cs="Times New Roman"/>
          <w:sz w:val="28"/>
          <w:szCs w:val="28"/>
        </w:rPr>
        <w:t xml:space="preserve">Углубленные занятия по учебным предметам помогают </w:t>
      </w:r>
      <w:r>
        <w:rPr>
          <w:rFonts w:ascii="Times New Roman" w:hAnsi="Times New Roman" w:cs="Times New Roman"/>
          <w:sz w:val="28"/>
          <w:szCs w:val="28"/>
        </w:rPr>
        <w:t>школь</w:t>
      </w:r>
      <w:r w:rsidRPr="00072784">
        <w:rPr>
          <w:rFonts w:ascii="Times New Roman" w:hAnsi="Times New Roman" w:cs="Times New Roman"/>
          <w:sz w:val="28"/>
          <w:szCs w:val="28"/>
        </w:rPr>
        <w:t>никам осознат</w:t>
      </w:r>
      <w:r w:rsidR="0021697B">
        <w:rPr>
          <w:rFonts w:ascii="Times New Roman" w:hAnsi="Times New Roman" w:cs="Times New Roman"/>
          <w:sz w:val="28"/>
          <w:szCs w:val="28"/>
        </w:rPr>
        <w:t>ь свои склонности, возможности</w:t>
      </w:r>
      <w:r w:rsidRPr="002F290D">
        <w:rPr>
          <w:rFonts w:ascii="Times New Roman" w:hAnsi="Times New Roman" w:cs="Times New Roman"/>
          <w:i/>
          <w:sz w:val="28"/>
          <w:szCs w:val="28"/>
        </w:rPr>
        <w:t>.</w:t>
      </w:r>
      <w:r w:rsidR="0021697B">
        <w:rPr>
          <w:rFonts w:ascii="Times New Roman" w:hAnsi="Times New Roman" w:cs="Times New Roman"/>
          <w:sz w:val="28"/>
          <w:szCs w:val="28"/>
        </w:rPr>
        <w:t xml:space="preserve"> </w:t>
      </w:r>
      <w:r w:rsidR="00072784" w:rsidRPr="00072784">
        <w:rPr>
          <w:rFonts w:ascii="Times New Roman" w:hAnsi="Times New Roman" w:cs="Times New Roman"/>
          <w:sz w:val="28"/>
          <w:szCs w:val="28"/>
        </w:rPr>
        <w:t>Выбор профессии начинается с профессионального самоопределения. На этом этапе ученики должны уже вполне реально сформировать для себя задачу выбора будущей сферы деятельности</w:t>
      </w:r>
      <w:r w:rsidR="007F2437">
        <w:rPr>
          <w:rFonts w:ascii="Times New Roman" w:hAnsi="Times New Roman" w:cs="Times New Roman"/>
          <w:sz w:val="28"/>
          <w:szCs w:val="28"/>
        </w:rPr>
        <w:t>,</w:t>
      </w:r>
      <w:r w:rsidR="00072784" w:rsidRPr="00072784">
        <w:rPr>
          <w:rFonts w:ascii="Times New Roman" w:hAnsi="Times New Roman" w:cs="Times New Roman"/>
          <w:sz w:val="28"/>
          <w:szCs w:val="28"/>
        </w:rPr>
        <w:t xml:space="preserve"> с учетом имеющегося психологического и психофизиологического ресурсов. </w:t>
      </w:r>
      <w:r w:rsidR="00131C39" w:rsidRPr="00072784">
        <w:rPr>
          <w:rFonts w:ascii="Times New Roman" w:hAnsi="Times New Roman" w:cs="Times New Roman"/>
          <w:sz w:val="28"/>
          <w:szCs w:val="28"/>
        </w:rPr>
        <w:t xml:space="preserve">В целях правильного выбора профессии необходимо управление данным процессом с учетом индивидуально-психологических особенностей </w:t>
      </w:r>
      <w:r w:rsidR="007F2437">
        <w:rPr>
          <w:rFonts w:ascii="Times New Roman" w:hAnsi="Times New Roman" w:cs="Times New Roman"/>
          <w:sz w:val="28"/>
          <w:szCs w:val="28"/>
        </w:rPr>
        <w:t>об</w:t>
      </w:r>
      <w:r w:rsidR="00131C39" w:rsidRPr="00072784">
        <w:rPr>
          <w:rFonts w:ascii="Times New Roman" w:hAnsi="Times New Roman" w:cs="Times New Roman"/>
          <w:sz w:val="28"/>
          <w:szCs w:val="28"/>
        </w:rPr>
        <w:t>уча</w:t>
      </w:r>
      <w:r w:rsidR="007F2437">
        <w:rPr>
          <w:rFonts w:ascii="Times New Roman" w:hAnsi="Times New Roman" w:cs="Times New Roman"/>
          <w:sz w:val="28"/>
          <w:szCs w:val="28"/>
        </w:rPr>
        <w:t>ю</w:t>
      </w:r>
      <w:r w:rsidR="00131C39" w:rsidRPr="00072784">
        <w:rPr>
          <w:rFonts w:ascii="Times New Roman" w:hAnsi="Times New Roman" w:cs="Times New Roman"/>
          <w:sz w:val="28"/>
          <w:szCs w:val="28"/>
        </w:rPr>
        <w:t>щихся.</w:t>
      </w:r>
      <w:r w:rsidR="00131C39" w:rsidRPr="00131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442" w:rsidRPr="00B51E80" w:rsidRDefault="006C4442" w:rsidP="00EB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«Мичуринском лицее» с 2000 года внедрены и успешно реализуются проекты по </w:t>
      </w:r>
      <w:proofErr w:type="spellStart"/>
      <w:r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профильному обучению школьников. На уровне </w:t>
      </w:r>
      <w:r w:rsidRPr="00B51E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обучения созданы классы с углубленны</w:t>
      </w:r>
      <w:r w:rsid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изучением отдельных предметов</w:t>
      </w:r>
      <w:r w:rsidR="00D16E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Pr="00B51E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обучения - профили.</w:t>
      </w:r>
    </w:p>
    <w:p w:rsidR="006C4442" w:rsidRPr="00B51E80" w:rsidRDefault="00B51E80" w:rsidP="00EB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6C4442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профилей зависит от выбора девятиклассниками определенных профильных предметов. Понятно, что все обучающиеся не могут удовлетворить</w:t>
      </w:r>
      <w:r w:rsidR="00D1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выбор лишь потому, что не всегда </w:t>
      </w:r>
      <w:r w:rsidR="006C4442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набраться группа по интересующему профилю. </w:t>
      </w:r>
      <w:r w:rsidR="00CC3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</w:t>
      </w:r>
      <w:r w:rsidR="006C4442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обучающимся в данной ситуации приходится принимать решение и выбирать профиль обучения из </w:t>
      </w:r>
      <w:r w:rsidR="006C4442" w:rsidRP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 направлений.</w:t>
      </w:r>
      <w:r w:rsidR="006C4442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442" w:rsidRPr="00637F1C" w:rsidRDefault="006C4442" w:rsidP="00EB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стало интересно</w:t>
      </w:r>
      <w:r w:rsidR="007F2437" w:rsidRP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</w:t>
      </w:r>
      <w:r w:rsidR="00637F1C" w:rsidRP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ли </w:t>
      </w:r>
      <w:proofErr w:type="gramStart"/>
      <w:r w:rsidRP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выбранному профилю на </w:t>
      </w:r>
      <w:r w:rsid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последующую </w:t>
      </w:r>
      <w:r w:rsidRP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профильными предметами и на выбор профессии, соответствующей профилю обучения.</w:t>
      </w:r>
    </w:p>
    <w:p w:rsidR="00CC33F6" w:rsidRPr="00CC33F6" w:rsidRDefault="00CC33F6" w:rsidP="00EB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Имея опыт работы по </w:t>
      </w:r>
      <w:proofErr w:type="spellStart"/>
      <w:r w:rsidRPr="00CC3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предпрофильной</w:t>
      </w:r>
      <w:proofErr w:type="spellEnd"/>
      <w:r w:rsidRPr="00CC3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подготовке и профильному обучению,  исследование проблемы начала с </w:t>
      </w:r>
      <w:r w:rsidRPr="00CC33F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определения готовности </w:t>
      </w:r>
      <w:proofErr w:type="gramStart"/>
      <w:r w:rsidRPr="00CC33F6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10-б класса</w:t>
      </w:r>
      <w:r w:rsidRPr="00CC33F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 выбору профессии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16E4F" w:rsidRDefault="00D16E4F" w:rsidP="00D16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выбору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10-б класса</w:t>
      </w:r>
    </w:p>
    <w:p w:rsidR="00637F1C" w:rsidRPr="00C61053" w:rsidRDefault="00637F1C" w:rsidP="00D16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16E4F" w:rsidRDefault="00D16E4F" w:rsidP="00D16E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468A37" wp14:editId="62312177">
            <wp:extent cx="4962525" cy="3311202"/>
            <wp:effectExtent l="0" t="0" r="9525" b="2286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7F1C" w:rsidRDefault="00637F1C" w:rsidP="006F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E4F" w:rsidRPr="00C61053" w:rsidRDefault="00D16E4F" w:rsidP="006F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результатов опросника для выявления готовности к выбору профессии </w:t>
      </w:r>
      <w:proofErr w:type="gramStart"/>
      <w:r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C6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В.Б. Успенскому) показал</w:t>
      </w:r>
      <w:r w:rsidRPr="00C6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0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середине </w:t>
      </w:r>
      <w:r w:rsidR="00637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полугодия у десятиклассников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химико-биологического профиля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Pr="00C61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выбору профессии выше, чем у их одноклассников социально-математического профиля</w:t>
      </w:r>
      <w:r w:rsidR="00756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</w:t>
      </w:r>
      <w:r w:rsidR="00B258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еще не подтверждали</w:t>
      </w:r>
      <w:r w:rsidR="0009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1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</w:t>
      </w:r>
      <w:r w:rsidR="0009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A17E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A17E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="00A1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выбору </w:t>
      </w:r>
      <w:r w:rsidR="007F2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 w:rsidR="00A1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r w:rsidR="00B258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выбранному профилю</w:t>
      </w:r>
      <w:r w:rsidR="0009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E4F" w:rsidRDefault="007F2437" w:rsidP="006F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б</w:t>
      </w:r>
      <w:r w:rsidR="000921CB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олее точно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0921CB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</w:t>
      </w:r>
      <w:r w:rsidR="000921CB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921CB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запросов в профессиональной сфере</w:t>
      </w:r>
      <w:r w:rsidR="007F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F1F9C" w:rsidRPr="007F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1F9C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соотнес</w:t>
      </w:r>
      <w:r w:rsidR="00EB5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</w:t>
      </w:r>
      <w:r w:rsidR="007F1F9C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склонност</w:t>
      </w:r>
      <w:r w:rsidR="00EB5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="007F1F9C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способност</w:t>
      </w:r>
      <w:r w:rsidR="00EB5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="007F1F9C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интерес</w:t>
      </w:r>
      <w:r w:rsidR="00EB5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7F1F9C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различными </w:t>
      </w:r>
      <w:r w:rsidR="007F1F9C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конкретными профессиями</w:t>
      </w:r>
      <w:r w:rsidR="007F1F9C" w:rsidRPr="007F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5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обратилась к</w:t>
      </w:r>
      <w:r w:rsidR="007F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5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F1F9C"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просник</w:t>
      </w:r>
      <w:r w:rsidR="00EB5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7F1F9C"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профессиональных  предпочтений</w:t>
      </w:r>
      <w:r w:rsidR="007F1F9C"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F1F9C"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Голланда</w:t>
      </w:r>
      <w:proofErr w:type="spellEnd"/>
      <w:r w:rsid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F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E4F"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помощью </w:t>
      </w:r>
      <w:r w:rsidR="007F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этой методики</w:t>
      </w:r>
      <w:r w:rsidR="00D16E4F"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удалось  проанализировать</w:t>
      </w:r>
      <w:r w:rsidR="00D16E4F" w:rsidRPr="00C6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E4F"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профессиональные интересы и предпочтения </w:t>
      </w:r>
      <w:proofErr w:type="gramStart"/>
      <w:r w:rsidR="00D16E4F"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D16E4F"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10-б  класса. </w:t>
      </w:r>
    </w:p>
    <w:p w:rsidR="00D16E4F" w:rsidRPr="00D671B2" w:rsidRDefault="00EB5AB6" w:rsidP="00D16E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843"/>
        <w:gridCol w:w="1842"/>
        <w:gridCol w:w="1808"/>
      </w:tblGrid>
      <w:tr w:rsidR="00D16E4F" w:rsidRPr="00D671B2" w:rsidTr="00D671B2">
        <w:tc>
          <w:tcPr>
            <w:tcW w:w="2376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Уровни 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Химико-биологический профиль</w:t>
            </w:r>
          </w:p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чел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Социально-математический профиль</w:t>
            </w:r>
          </w:p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чел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10-б класс</w:t>
            </w:r>
          </w:p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 чел</w:t>
            </w:r>
          </w:p>
        </w:tc>
      </w:tr>
      <w:tr w:rsidR="00D16E4F" w:rsidRPr="00D671B2" w:rsidTr="00D671B2">
        <w:tc>
          <w:tcPr>
            <w:tcW w:w="2376" w:type="dxa"/>
            <w:vMerge w:val="restart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Однородность типов личности, типов окружения</w:t>
            </w: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 – 38 %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 – 60 %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 – 50 %</w:t>
            </w:r>
          </w:p>
        </w:tc>
      </w:tr>
      <w:tr w:rsidR="00D16E4F" w:rsidRPr="00D671B2" w:rsidTr="00D671B2">
        <w:tc>
          <w:tcPr>
            <w:tcW w:w="2376" w:type="dxa"/>
            <w:vMerge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 – 38 %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 – 40 %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 – 39 %</w:t>
            </w:r>
          </w:p>
        </w:tc>
      </w:tr>
      <w:tr w:rsidR="00D16E4F" w:rsidRPr="00D671B2" w:rsidTr="00D671B2">
        <w:tc>
          <w:tcPr>
            <w:tcW w:w="2376" w:type="dxa"/>
            <w:vMerge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 -  25 %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 – 11 %</w:t>
            </w:r>
          </w:p>
        </w:tc>
      </w:tr>
      <w:tr w:rsidR="00D16E4F" w:rsidRPr="00D671B2" w:rsidTr="00D671B2">
        <w:tc>
          <w:tcPr>
            <w:tcW w:w="2376" w:type="dxa"/>
            <w:vMerge w:val="restart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личности и ее интересов</w:t>
            </w: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 – 50 %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чел </w:t>
            </w: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30 %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 – 39 %</w:t>
            </w:r>
          </w:p>
        </w:tc>
      </w:tr>
      <w:tr w:rsidR="00D16E4F" w:rsidRPr="00D671B2" w:rsidTr="00D671B2">
        <w:tc>
          <w:tcPr>
            <w:tcW w:w="2376" w:type="dxa"/>
            <w:vMerge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слабый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 – 50 %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7 чел  </w:t>
            </w: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70 </w:t>
            </w: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чел – 61 %</w:t>
            </w:r>
          </w:p>
        </w:tc>
      </w:tr>
      <w:tr w:rsidR="00D16E4F" w:rsidRPr="00D671B2" w:rsidTr="00D671B2">
        <w:tc>
          <w:tcPr>
            <w:tcW w:w="2376" w:type="dxa"/>
            <w:vMerge w:val="restart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Круг интересов</w:t>
            </w: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 – 12 %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 – 6 %</w:t>
            </w:r>
          </w:p>
        </w:tc>
      </w:tr>
      <w:tr w:rsidR="00D16E4F" w:rsidRPr="00D671B2" w:rsidTr="00D671B2">
        <w:tc>
          <w:tcPr>
            <w:tcW w:w="2376" w:type="dxa"/>
            <w:vMerge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определен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 – 82 %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 – 100 %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чел – 94 %</w:t>
            </w:r>
          </w:p>
        </w:tc>
      </w:tr>
      <w:tr w:rsidR="00D16E4F" w:rsidRPr="00D671B2" w:rsidTr="00D671B2">
        <w:tc>
          <w:tcPr>
            <w:tcW w:w="2376" w:type="dxa"/>
            <w:vMerge w:val="restart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типа личности профилю обучения</w:t>
            </w: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 – 62 %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 – 100 %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 – 83 %</w:t>
            </w:r>
          </w:p>
        </w:tc>
      </w:tr>
      <w:tr w:rsidR="00D16E4F" w:rsidRPr="00D671B2" w:rsidTr="00D671B2">
        <w:tc>
          <w:tcPr>
            <w:tcW w:w="2376" w:type="dxa"/>
            <w:vMerge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соответствует</w:t>
            </w:r>
          </w:p>
        </w:tc>
        <w:tc>
          <w:tcPr>
            <w:tcW w:w="1843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 – 38 %</w:t>
            </w:r>
          </w:p>
        </w:tc>
        <w:tc>
          <w:tcPr>
            <w:tcW w:w="1842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D16E4F" w:rsidRPr="00D671B2" w:rsidRDefault="00D16E4F" w:rsidP="0008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чел– 17 %</w:t>
            </w:r>
          </w:p>
        </w:tc>
      </w:tr>
    </w:tbl>
    <w:p w:rsidR="00EB5AB6" w:rsidRDefault="00EB5AB6" w:rsidP="006F4F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F9A" w:rsidRDefault="006F4F9A" w:rsidP="006F4F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нализ</w:t>
      </w:r>
      <w:r w:rsidRPr="00C6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предпочтени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</w:p>
    <w:p w:rsidR="00303742" w:rsidRDefault="006F4F9A" w:rsidP="006F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C61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10-б  класса</w:t>
      </w:r>
    </w:p>
    <w:p w:rsidR="00303742" w:rsidRDefault="00B2584E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0FF5D6" wp14:editId="6D56FCB0">
            <wp:simplePos x="0" y="0"/>
            <wp:positionH relativeFrom="column">
              <wp:posOffset>-81915</wp:posOffset>
            </wp:positionH>
            <wp:positionV relativeFrom="paragraph">
              <wp:posOffset>55880</wp:posOffset>
            </wp:positionV>
            <wp:extent cx="5095875" cy="4523740"/>
            <wp:effectExtent l="0" t="0" r="9525" b="10160"/>
            <wp:wrapNone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Pr="00D671B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03742" w:rsidRDefault="0030374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17307" w:rsidRDefault="00B17307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17307" w:rsidRDefault="00B17307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17307" w:rsidRDefault="00B17307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17307" w:rsidRDefault="00B17307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F1F9C" w:rsidRDefault="00D671B2" w:rsidP="00D1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Из диаграммы видно:</w:t>
      </w:r>
    </w:p>
    <w:p w:rsidR="00A22E06" w:rsidRDefault="00EB5AB6" w:rsidP="007F1F9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="006316DB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рове</w:t>
      </w:r>
      <w:r w:rsidR="006316DB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нь</w:t>
      </w:r>
      <w:r w:rsidR="00BC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однородности типов личности и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окружения в химико-биологической группе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оказался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16DB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ниже (78 %)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316DB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социально-математической </w:t>
      </w:r>
      <w:r w:rsidR="006316DB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100 %</w:t>
      </w:r>
      <w:r w:rsidR="006316DB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Известно, что в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ыпускники с </w:t>
      </w:r>
      <w:r w:rsidR="007F4D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ким уровнем совместимости </w:t>
      </w:r>
      <w:r w:rsidR="007F4D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трудне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на</w:t>
      </w:r>
      <w:r w:rsidR="00A22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ходя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удовлетворение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D16E4F" w:rsidRP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r w:rsidR="007F4DA8" w:rsidRPr="007F4DA8">
        <w:t xml:space="preserve"> </w:t>
      </w:r>
    </w:p>
    <w:p w:rsidR="00A22E06" w:rsidRDefault="00EB5AB6" w:rsidP="007F1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Исследования показали: о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пределенность сферы интересов личности в химико-биологической группе </w:t>
      </w:r>
      <w:r w:rsid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 (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50 %</w:t>
      </w:r>
      <w:r w:rsid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социально - математической </w:t>
      </w:r>
      <w:r w:rsid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30 %</w:t>
      </w:r>
      <w:r w:rsidR="006F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BC175D" w:rsidRPr="006928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плохо дифференцированным кругом интересов часто встречают трудности в составлении списка профессий, плохо осознают, что они хотят от своей профессиональной карьеры и требуют длительной консультативной работы.</w:t>
      </w:r>
    </w:p>
    <w:p w:rsidR="00BC175D" w:rsidRPr="001D66AA" w:rsidRDefault="00EB5AB6" w:rsidP="00BC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 интересов испытуемых в химико-биол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огической группе определен у 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12 %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со</w:t>
      </w:r>
      <w:r w:rsidR="007F1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циально-</w:t>
      </w:r>
      <w:r w:rsidR="00D16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математической – 0 %.</w:t>
      </w:r>
      <w:r w:rsidR="00A22E06" w:rsidRPr="00A2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7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C175D" w:rsidRPr="001D66A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юди, занятые в профессии и находящиеся в окружении, соответствующем их типу более удовлетворены своей карьерой</w:t>
      </w:r>
      <w:r w:rsidR="00B25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175D" w:rsidRPr="001D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 максимальной эффективностью и ценятся в своих организациях.</w:t>
      </w:r>
      <w:proofErr w:type="gramEnd"/>
      <w:r w:rsidR="00BC175D" w:rsidRPr="001D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наоборот, люди, выполняющие профессиональную деятельность, не соответствующую их типу будут испытывать чувство неудовлетворения, желание сменить место работы, низкую мотивацию. </w:t>
      </w:r>
    </w:p>
    <w:p w:rsidR="00D16E4F" w:rsidRPr="00692880" w:rsidRDefault="00EB5AB6" w:rsidP="00D671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диагностического обследования</w:t>
      </w:r>
      <w:r w:rsidR="00D16E4F" w:rsidRPr="0069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E4F" w:rsidRPr="0069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выяснилось, что в химико-биологической группе соответствие типа личности профилю обучения составляет 62 %, а в социально - математической – 100 %.</w:t>
      </w:r>
    </w:p>
    <w:p w:rsidR="005949A3" w:rsidRDefault="00A17E77" w:rsidP="00D6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67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полугодия </w:t>
      </w:r>
      <w:r w:rsidR="0059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десятиклассник</w:t>
      </w:r>
      <w:r w:rsidR="00594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обеих профильных групп </w:t>
      </w:r>
      <w:r w:rsidR="0059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 </w:t>
      </w:r>
      <w:r w:rsidR="005949A3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склонности, способности и интересы</w:t>
      </w:r>
      <w:r w:rsidR="00594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49A3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соотн</w:t>
      </w:r>
      <w:r w:rsidR="00594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5949A3" w:rsidRPr="0009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94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ились с профессиями соответствующими профилю обучения.</w:t>
      </w:r>
    </w:p>
    <w:p w:rsidR="00FB3A11" w:rsidRPr="00D94855" w:rsidRDefault="00B51E80" w:rsidP="00EB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4442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56860">
        <w:rPr>
          <w:rFonts w:ascii="Times New Roman" w:eastAsia="Times New Roman" w:hAnsi="Times New Roman" w:cs="Times New Roman"/>
          <w:sz w:val="28"/>
          <w:szCs w:val="28"/>
          <w:lang w:eastAsia="ru-RU"/>
        </w:rPr>
        <w:t>3-14 учебного</w:t>
      </w:r>
      <w:r w:rsidR="006C4442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8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10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="00356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F1006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</w:t>
      </w:r>
      <w:r w:rsidR="00356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F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6F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860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35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«Психология и педагогика»</w:t>
      </w:r>
      <w:r w:rsidR="0035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42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6C4442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C4442" w:rsidRPr="00B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10-11 классов</w:t>
      </w:r>
      <w:r w:rsidR="0035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химико-биологического профиля</w:t>
      </w:r>
      <w:r w:rsidR="00D9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3A11" w:rsidRPr="00D94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FB3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ями курса</w:t>
      </w:r>
      <w:r w:rsidR="00FB3A11" w:rsidRPr="00D94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являются:</w:t>
      </w:r>
      <w:r w:rsidR="00FB3A11" w:rsidRPr="00D9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целостного представления о психологических особенностях человека как факторах успешности его деятельности; приобретение умения самостоятельно мыслить и предвидеть последствия собственных действий, самостоятельно учиться и адекватно оценивать свои возможности, находить оптимальные пути достижения цели и преодоления производственных проблем. </w:t>
      </w:r>
    </w:p>
    <w:p w:rsidR="002319A3" w:rsidRDefault="002319A3" w:rsidP="00231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84">
        <w:rPr>
          <w:rFonts w:ascii="Times New Roman" w:hAnsi="Times New Roman" w:cs="Times New Roman"/>
          <w:sz w:val="28"/>
          <w:szCs w:val="28"/>
        </w:rPr>
        <w:t xml:space="preserve">Для старшеклассников выбор профессии – серьезный шаг. Но проблема в том, что они слабо ориентируются в научных основах профессионального самоопределения, прежде всего, психологических. Большинству юношей и девушек не хватает общих знаний психологии личности, им трудно разобраться в своих интересах, способностях, качествах и чертах характера. Их представления о личности часто остаются на уровне житейских, бытовых суждений. Все это дает право утверждать, что психологическое образование как условие формирования объективной самооценки, как условие правильного выбора профессии очень нужно нашим старшеклассникам. </w:t>
      </w:r>
      <w:r w:rsidRPr="009D5263">
        <w:rPr>
          <w:rFonts w:ascii="Times New Roman" w:hAnsi="Times New Roman" w:cs="Times New Roman"/>
          <w:sz w:val="28"/>
          <w:szCs w:val="28"/>
        </w:rPr>
        <w:t>Исследования показывают, что старшеклассники стремятся выбрать тот вид деятельности, который соответствовал бы их пониманию собственных возможностей.</w:t>
      </w:r>
    </w:p>
    <w:p w:rsidR="002439B6" w:rsidRPr="00072784" w:rsidRDefault="002439B6" w:rsidP="0024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84">
        <w:rPr>
          <w:rFonts w:ascii="Times New Roman" w:hAnsi="Times New Roman" w:cs="Times New Roman"/>
          <w:sz w:val="28"/>
          <w:szCs w:val="28"/>
        </w:rPr>
        <w:lastRenderedPageBreak/>
        <w:t xml:space="preserve">Самопознание – одно из необходимых условий осуществления личностного подхода к выбору профессии. Познание самого себя идет через сравнение себя с другими людьми, путем осознания своих возможностей, достижений и сравнения их с успехами и достижениями окружающих людей. Познавая себя,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072784">
        <w:rPr>
          <w:rFonts w:ascii="Times New Roman" w:hAnsi="Times New Roman" w:cs="Times New Roman"/>
          <w:sz w:val="28"/>
          <w:szCs w:val="28"/>
        </w:rPr>
        <w:t xml:space="preserve"> одновременно позна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72784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72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людей, а эти </w:t>
      </w:r>
      <w:r w:rsidRPr="00072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72784">
        <w:rPr>
          <w:rFonts w:ascii="Times New Roman" w:hAnsi="Times New Roman" w:cs="Times New Roman"/>
          <w:sz w:val="28"/>
          <w:szCs w:val="28"/>
        </w:rPr>
        <w:t>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2784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2784">
        <w:rPr>
          <w:rFonts w:ascii="Times New Roman" w:hAnsi="Times New Roman" w:cs="Times New Roman"/>
          <w:sz w:val="28"/>
          <w:szCs w:val="28"/>
        </w:rPr>
        <w:t>т самопознанию. Процесс сравнения – основа не только познания мира, но и познания самого себя</w:t>
      </w:r>
      <w:r>
        <w:rPr>
          <w:rFonts w:ascii="Times New Roman" w:hAnsi="Times New Roman" w:cs="Times New Roman"/>
          <w:sz w:val="28"/>
          <w:szCs w:val="28"/>
        </w:rPr>
        <w:t xml:space="preserve">, а для этого необходимо </w:t>
      </w:r>
      <w:r w:rsidRPr="00072784">
        <w:rPr>
          <w:rFonts w:ascii="Times New Roman" w:hAnsi="Times New Roman" w:cs="Times New Roman"/>
          <w:sz w:val="28"/>
          <w:szCs w:val="28"/>
        </w:rPr>
        <w:t>прилагать активные усилия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2784">
        <w:rPr>
          <w:rFonts w:ascii="Times New Roman" w:hAnsi="Times New Roman" w:cs="Times New Roman"/>
          <w:sz w:val="28"/>
          <w:szCs w:val="28"/>
        </w:rPr>
        <w:t>Совершенствование самого себя начинается с процесса самопознания. Нельзя стать лучше, не зная, какие качества характера надо воспитать, а какие - изжить. Без самопознания нельзя правильно наметить программу самовоспитания и саморазвития, трудно выбрать работу по душе.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84">
        <w:rPr>
          <w:rFonts w:ascii="Times New Roman" w:hAnsi="Times New Roman" w:cs="Times New Roman"/>
          <w:sz w:val="28"/>
          <w:szCs w:val="28"/>
        </w:rPr>
        <w:t>Возникновение потребности в знании собственных особенностей, интереса к себе и размышлений о себе является характерной особенностью повзрослевших детей.</w:t>
      </w:r>
      <w:r w:rsidRPr="009D5263">
        <w:rPr>
          <w:rFonts w:ascii="Times New Roman" w:hAnsi="Times New Roman" w:cs="Times New Roman"/>
          <w:sz w:val="28"/>
          <w:szCs w:val="28"/>
        </w:rPr>
        <w:t xml:space="preserve"> Осознать самого себя – значит дать отчет себе относительно своих сил, возможностей, личных качеств, уровня их развития, то есть оценить их в должной мере.</w:t>
      </w:r>
    </w:p>
    <w:p w:rsidR="004760BE" w:rsidRPr="005949A3" w:rsidRDefault="004760BE" w:rsidP="00476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A3">
        <w:rPr>
          <w:rFonts w:ascii="Times New Roman" w:hAnsi="Times New Roman" w:cs="Times New Roman"/>
          <w:sz w:val="28"/>
          <w:szCs w:val="28"/>
        </w:rPr>
        <w:t>К психологическим предпосылкам профессионального самоопределения относятся различные компоненты направленности личности, потребность в профессиональном самоопределении, учебные и профессиональные интересы и склонности</w:t>
      </w:r>
      <w:r w:rsidR="006F1006">
        <w:rPr>
          <w:rFonts w:ascii="Times New Roman" w:hAnsi="Times New Roman" w:cs="Times New Roman"/>
          <w:sz w:val="28"/>
          <w:szCs w:val="28"/>
        </w:rPr>
        <w:t>,</w:t>
      </w:r>
      <w:r w:rsidRPr="005949A3">
        <w:rPr>
          <w:rFonts w:ascii="Times New Roman" w:hAnsi="Times New Roman" w:cs="Times New Roman"/>
          <w:sz w:val="28"/>
          <w:szCs w:val="28"/>
        </w:rPr>
        <w:t xml:space="preserve"> убеждения и установки</w:t>
      </w:r>
      <w:r w:rsidR="00356860">
        <w:rPr>
          <w:rFonts w:ascii="Times New Roman" w:hAnsi="Times New Roman" w:cs="Times New Roman"/>
          <w:sz w:val="28"/>
          <w:szCs w:val="28"/>
        </w:rPr>
        <w:t>, а так же</w:t>
      </w:r>
      <w:r w:rsidRPr="005949A3">
        <w:rPr>
          <w:rFonts w:ascii="Times New Roman" w:hAnsi="Times New Roman" w:cs="Times New Roman"/>
          <w:sz w:val="28"/>
          <w:szCs w:val="28"/>
        </w:rPr>
        <w:t xml:space="preserve"> представления о жизненных ценностях</w:t>
      </w:r>
      <w:r w:rsidR="00356860" w:rsidRPr="00356860">
        <w:rPr>
          <w:rFonts w:ascii="Times New Roman" w:hAnsi="Times New Roman" w:cs="Times New Roman"/>
          <w:sz w:val="28"/>
          <w:szCs w:val="28"/>
        </w:rPr>
        <w:t xml:space="preserve"> </w:t>
      </w:r>
      <w:r w:rsidR="00356860">
        <w:rPr>
          <w:rFonts w:ascii="Times New Roman" w:hAnsi="Times New Roman" w:cs="Times New Roman"/>
          <w:sz w:val="28"/>
          <w:szCs w:val="28"/>
        </w:rPr>
        <w:t>и идеалах</w:t>
      </w:r>
      <w:r w:rsidRPr="005949A3">
        <w:rPr>
          <w:rFonts w:ascii="Times New Roman" w:hAnsi="Times New Roman" w:cs="Times New Roman"/>
          <w:sz w:val="28"/>
          <w:szCs w:val="28"/>
        </w:rPr>
        <w:t>.</w:t>
      </w:r>
    </w:p>
    <w:p w:rsidR="002319A3" w:rsidRPr="00072784" w:rsidRDefault="004760BE" w:rsidP="00231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263">
        <w:rPr>
          <w:rFonts w:ascii="Times New Roman" w:hAnsi="Times New Roman" w:cs="Times New Roman"/>
          <w:sz w:val="28"/>
          <w:szCs w:val="28"/>
        </w:rPr>
        <w:t>В профессиональном самоопределении личности самооценка – оценка, которую человек дает самому себе, своим возможностям, соответствующим или не соответствующим специфике профессии.</w:t>
      </w:r>
      <w:r w:rsidR="002319A3" w:rsidRPr="002319A3">
        <w:rPr>
          <w:rFonts w:ascii="Times New Roman" w:hAnsi="Times New Roman" w:cs="Times New Roman"/>
          <w:sz w:val="28"/>
          <w:szCs w:val="28"/>
        </w:rPr>
        <w:t xml:space="preserve"> </w:t>
      </w:r>
      <w:r w:rsidR="002319A3" w:rsidRPr="00170B7F">
        <w:rPr>
          <w:rFonts w:ascii="Times New Roman" w:hAnsi="Times New Roman" w:cs="Times New Roman"/>
          <w:sz w:val="28"/>
          <w:szCs w:val="28"/>
        </w:rPr>
        <w:t>У старшеклассников самооценка служит двум целям: самовоспитанию</w:t>
      </w:r>
      <w:r w:rsidR="00356860">
        <w:rPr>
          <w:rFonts w:ascii="Times New Roman" w:hAnsi="Times New Roman" w:cs="Times New Roman"/>
          <w:sz w:val="28"/>
          <w:szCs w:val="28"/>
        </w:rPr>
        <w:t xml:space="preserve"> и</w:t>
      </w:r>
      <w:r w:rsidR="002319A3" w:rsidRPr="00170B7F">
        <w:rPr>
          <w:rFonts w:ascii="Times New Roman" w:hAnsi="Times New Roman" w:cs="Times New Roman"/>
          <w:sz w:val="28"/>
          <w:szCs w:val="28"/>
        </w:rPr>
        <w:t xml:space="preserve"> прогнозированию будущей профессии.</w:t>
      </w:r>
      <w:r w:rsidR="002319A3" w:rsidRPr="002319A3">
        <w:rPr>
          <w:rFonts w:ascii="Times New Roman" w:hAnsi="Times New Roman" w:cs="Times New Roman"/>
          <w:sz w:val="28"/>
          <w:szCs w:val="28"/>
        </w:rPr>
        <w:t xml:space="preserve"> </w:t>
      </w:r>
      <w:r w:rsidR="002319A3" w:rsidRPr="00072784">
        <w:rPr>
          <w:rFonts w:ascii="Times New Roman" w:hAnsi="Times New Roman" w:cs="Times New Roman"/>
          <w:sz w:val="28"/>
          <w:szCs w:val="28"/>
        </w:rPr>
        <w:t>Самооценка как феномен самопознания не дается человеку от природы. Она формируется в процессе развития личности и имеет разную степень объективности и полноты. Формирование самооценки, ее полноты и адекватности – одна из задач профессиональной ориентации.</w:t>
      </w:r>
    </w:p>
    <w:p w:rsidR="002319A3" w:rsidRDefault="006F1006" w:rsidP="006C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10, 11 классах по курсу «Психология и педагогика», уйти от профессиональной ориентации старшеклассников невозможно. </w:t>
      </w:r>
      <w:r w:rsidR="006C0A7B">
        <w:rPr>
          <w:rFonts w:ascii="Times New Roman" w:hAnsi="Times New Roman" w:cs="Times New Roman"/>
          <w:sz w:val="28"/>
          <w:szCs w:val="28"/>
        </w:rPr>
        <w:t xml:space="preserve">Каждое занятие дает </w:t>
      </w:r>
      <w:proofErr w:type="gramStart"/>
      <w:r w:rsidR="006C0A7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C0A7B">
        <w:rPr>
          <w:rFonts w:ascii="Times New Roman" w:hAnsi="Times New Roman" w:cs="Times New Roman"/>
          <w:sz w:val="28"/>
          <w:szCs w:val="28"/>
        </w:rPr>
        <w:t xml:space="preserve"> определенные знания и готовит школьников не только к самостоятельному и ответственному шагу - выбору профессии, но и к жизни в этом сложном мире проблем.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4F" w:rsidRDefault="0059335E" w:rsidP="006C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ноябре 2014 года, в 11 классе химико-биологического профиля проводилось </w:t>
      </w:r>
      <w:r w:rsidR="006C0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очередное </w:t>
      </w:r>
      <w:r w:rsid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анкетирование </w:t>
      </w:r>
      <w:proofErr w:type="gramStart"/>
      <w:r w:rsid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Вопросы были направлены на 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выбор 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привлекательн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профессии, 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ованность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предмет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наличие 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</w:t>
      </w:r>
      <w:r w:rsidR="00CE0A2D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r w:rsid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0A2D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интересующей 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</w:t>
      </w:r>
      <w:r w:rsidR="00CE0A2D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фактор</w:t>
      </w:r>
      <w:r w:rsidR="00CE0A2D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</w:t>
      </w:r>
      <w:r w:rsidR="006C0A7B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ющи</w:t>
      </w:r>
      <w:r w:rsidR="00CE0A2D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выбор профессии</w:t>
      </w:r>
      <w:r w:rsidR="00CE0A2D"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E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0203D" w:rsidRDefault="006C47B5" w:rsidP="006C4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профессии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химико-биологической </w:t>
      </w:r>
      <w:r w:rsidR="00C0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</w:p>
    <w:p w:rsidR="006C47B5" w:rsidRPr="006C47B5" w:rsidRDefault="006C47B5" w:rsidP="006C4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6C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C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обучения</w:t>
      </w:r>
    </w:p>
    <w:p w:rsidR="006C4442" w:rsidRPr="006C4442" w:rsidRDefault="006C47B5" w:rsidP="006C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39348" cy="2762250"/>
            <wp:effectExtent l="0" t="0" r="13970" b="1905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7002" w:rsidRPr="00DC7002" w:rsidRDefault="00CE0A2D" w:rsidP="0040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Опрос показал, </w:t>
      </w:r>
      <w:r w:rsidR="0059335E">
        <w:rPr>
          <w:rFonts w:ascii="Times New Roman" w:eastAsia="Calibri" w:hAnsi="Times New Roman" w:cs="Times New Roman"/>
          <w:sz w:val="28"/>
          <w:szCs w:val="28"/>
        </w:rPr>
        <w:t xml:space="preserve">что обучающиеся 11 класса </w:t>
      </w:r>
      <w:r>
        <w:rPr>
          <w:rFonts w:ascii="Times New Roman" w:eastAsia="Calibri" w:hAnsi="Times New Roman" w:cs="Times New Roman"/>
          <w:sz w:val="28"/>
          <w:szCs w:val="28"/>
        </w:rPr>
        <w:t>по-</w:t>
      </w:r>
      <w:r w:rsidR="00CD6FC1">
        <w:rPr>
          <w:rFonts w:ascii="Times New Roman" w:eastAsia="Calibri" w:hAnsi="Times New Roman" w:cs="Times New Roman"/>
          <w:sz w:val="28"/>
          <w:szCs w:val="28"/>
        </w:rPr>
        <w:t>друг</w:t>
      </w:r>
      <w:r>
        <w:rPr>
          <w:rFonts w:ascii="Times New Roman" w:eastAsia="Calibri" w:hAnsi="Times New Roman" w:cs="Times New Roman"/>
          <w:sz w:val="28"/>
          <w:szCs w:val="28"/>
        </w:rPr>
        <w:t>ому относятся к выбору профессии</w:t>
      </w:r>
      <w:r w:rsidR="00B8465C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CD6FC1">
        <w:rPr>
          <w:rFonts w:ascii="Times New Roman" w:eastAsia="Calibri" w:hAnsi="Times New Roman" w:cs="Times New Roman"/>
          <w:sz w:val="28"/>
          <w:szCs w:val="28"/>
        </w:rPr>
        <w:t>тем</w:t>
      </w:r>
      <w:r w:rsidR="00BC175D">
        <w:rPr>
          <w:rFonts w:ascii="Times New Roman" w:eastAsia="Calibri" w:hAnsi="Times New Roman" w:cs="Times New Roman"/>
          <w:sz w:val="28"/>
          <w:szCs w:val="28"/>
        </w:rPr>
        <w:t>, когда они были</w:t>
      </w:r>
      <w:r w:rsidR="00B8465C">
        <w:rPr>
          <w:rFonts w:ascii="Times New Roman" w:eastAsia="Calibri" w:hAnsi="Times New Roman" w:cs="Times New Roman"/>
          <w:sz w:val="28"/>
          <w:szCs w:val="28"/>
        </w:rPr>
        <w:t xml:space="preserve"> десятиклассник</w:t>
      </w:r>
      <w:r w:rsidR="00BC175D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84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старшеклассников 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совпадают привлекательные 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и учебные предметы,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выбора одной единственной профессии ими пока не наблюдается. У 62 % </w:t>
      </w:r>
      <w:proofErr w:type="gramStart"/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привлекательные </w:t>
      </w:r>
      <w:r w:rsidR="00B8465C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и учебные предметы</w:t>
      </w:r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совпадают</w:t>
      </w:r>
      <w:r w:rsidR="00B8465C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65C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</w:t>
      </w:r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B8465C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то же время</w:t>
      </w:r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 нравятся </w:t>
      </w:r>
      <w:r w:rsidR="00B846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непрофильные учебные предметы и специальности</w:t>
      </w:r>
      <w:r w:rsidR="00B8465C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анализировать только привлекательность учебных предметов, то обнаруживается, что профильные  предметы нравятся </w:t>
      </w:r>
      <w:r w:rsidR="00E34A3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50 %</w:t>
      </w:r>
      <w:r w:rsidR="00E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старшеклассников. Таким образом, к середине первого полугодия </w:t>
      </w:r>
      <w:r w:rsidR="00CD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одиннадцатиклассников</w:t>
      </w:r>
      <w:r w:rsidR="00E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7E0F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разбросанность интересов</w:t>
      </w:r>
      <w:r w:rsidR="00403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7F7E0F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привлекательных профессиях</w:t>
      </w:r>
      <w:r w:rsidR="00E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E34A3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увлеченности учебными предметами</w:t>
      </w:r>
      <w:r w:rsidR="00E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7E0F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несоответствие выбора профессии и учебных предметов с профилем обучения </w:t>
      </w:r>
      <w:proofErr w:type="gramStart"/>
      <w:r w:rsidR="000F4F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F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F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снизилось с 38 % в десятом классе до 12 % в одиннадцатом классе.</w:t>
      </w:r>
      <w:r w:rsidR="00E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="008D4E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профессиях </w:t>
      </w:r>
      <w:r w:rsidR="000F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r w:rsidR="008D4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должном уровне</w:t>
      </w:r>
      <w:r w:rsidR="000F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профессии оказывают влияние разные факторы: привлекательность</w:t>
      </w:r>
      <w:r w:rsidR="000F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– 70 %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002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</w:t>
      </w:r>
      <w:r w:rsidR="00DC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17 %</w:t>
      </w:r>
      <w:r w:rsidR="00DC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DC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близкие</w:t>
      </w:r>
      <w:r w:rsidR="000F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700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F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59335E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EE7">
        <w:rPr>
          <w:rFonts w:ascii="Times New Roman" w:eastAsia="Calibri" w:hAnsi="Times New Roman" w:cs="Times New Roman"/>
          <w:sz w:val="28"/>
          <w:szCs w:val="28"/>
        </w:rPr>
        <w:t>Т</w:t>
      </w:r>
      <w:r w:rsidR="008D4EE7" w:rsidRPr="006C4442">
        <w:rPr>
          <w:rFonts w:ascii="Times New Roman" w:eastAsia="Calibri" w:hAnsi="Times New Roman" w:cs="Times New Roman"/>
          <w:sz w:val="28"/>
          <w:szCs w:val="28"/>
        </w:rPr>
        <w:t>оварищ</w:t>
      </w:r>
      <w:r w:rsidR="008D4EE7">
        <w:rPr>
          <w:rFonts w:ascii="Times New Roman" w:eastAsia="Calibri" w:hAnsi="Times New Roman" w:cs="Times New Roman"/>
          <w:sz w:val="28"/>
          <w:szCs w:val="28"/>
        </w:rPr>
        <w:t>и</w:t>
      </w:r>
      <w:r w:rsidR="008D4EE7" w:rsidRPr="006C4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EE7" w:rsidRPr="006C4442">
        <w:rPr>
          <w:rFonts w:ascii="Times New Roman" w:eastAsia="Calibri" w:hAnsi="Times New Roman" w:cs="Times New Roman"/>
          <w:sz w:val="28"/>
          <w:szCs w:val="28"/>
        </w:rPr>
        <w:t>практически никак не оказыва</w:t>
      </w:r>
      <w:r w:rsidR="008D4EE7">
        <w:rPr>
          <w:rFonts w:ascii="Times New Roman" w:eastAsia="Calibri" w:hAnsi="Times New Roman" w:cs="Times New Roman"/>
          <w:sz w:val="28"/>
          <w:szCs w:val="28"/>
        </w:rPr>
        <w:t>ю</w:t>
      </w:r>
      <w:r w:rsidR="008D4EE7" w:rsidRPr="006C4442">
        <w:rPr>
          <w:rFonts w:ascii="Times New Roman" w:eastAsia="Calibri" w:hAnsi="Times New Roman" w:cs="Times New Roman"/>
          <w:sz w:val="28"/>
          <w:szCs w:val="28"/>
        </w:rPr>
        <w:t>т влияния</w:t>
      </w:r>
      <w:r w:rsidR="008D4EE7" w:rsidRPr="006C4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EE7">
        <w:rPr>
          <w:rFonts w:ascii="Times New Roman" w:eastAsia="Calibri" w:hAnsi="Times New Roman" w:cs="Times New Roman"/>
          <w:sz w:val="28"/>
          <w:szCs w:val="28"/>
        </w:rPr>
        <w:t>н</w:t>
      </w:r>
      <w:r w:rsidR="00C0203D" w:rsidRPr="006C4442">
        <w:rPr>
          <w:rFonts w:ascii="Times New Roman" w:eastAsia="Calibri" w:hAnsi="Times New Roman" w:cs="Times New Roman"/>
          <w:sz w:val="28"/>
          <w:szCs w:val="28"/>
        </w:rPr>
        <w:t>а выбор профессии старшеклассников</w:t>
      </w:r>
      <w:r w:rsidR="00C0203D">
        <w:rPr>
          <w:rFonts w:ascii="Times New Roman" w:eastAsia="Calibri" w:hAnsi="Times New Roman" w:cs="Times New Roman"/>
          <w:sz w:val="28"/>
          <w:szCs w:val="28"/>
        </w:rPr>
        <w:t>, п</w:t>
      </w:r>
      <w:r w:rsidR="00C0203D" w:rsidRPr="006C4442">
        <w:rPr>
          <w:rFonts w:ascii="Times New Roman" w:eastAsia="Calibri" w:hAnsi="Times New Roman" w:cs="Times New Roman"/>
          <w:sz w:val="28"/>
          <w:szCs w:val="28"/>
        </w:rPr>
        <w:t>озиция учителей также остается в стороне при выборе профессии одиннадцатиклассниками</w:t>
      </w:r>
      <w:r w:rsidR="00DC7002">
        <w:rPr>
          <w:rFonts w:ascii="Times New Roman" w:eastAsia="Calibri" w:hAnsi="Times New Roman" w:cs="Times New Roman"/>
          <w:sz w:val="28"/>
          <w:szCs w:val="28"/>
        </w:rPr>
        <w:t>.</w:t>
      </w:r>
      <w:r w:rsidR="00DC7002" w:rsidRPr="00DC7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002" w:rsidRPr="00DC7002">
        <w:rPr>
          <w:rFonts w:ascii="Times New Roman" w:eastAsia="Calibri" w:hAnsi="Times New Roman" w:cs="Times New Roman"/>
          <w:sz w:val="28"/>
          <w:szCs w:val="28"/>
        </w:rPr>
        <w:t>На этих повзрослевших школьников уже не так сильно влия</w:t>
      </w:r>
      <w:r w:rsidR="00DC7002">
        <w:rPr>
          <w:rFonts w:ascii="Times New Roman" w:eastAsia="Calibri" w:hAnsi="Times New Roman" w:cs="Times New Roman"/>
          <w:sz w:val="28"/>
          <w:szCs w:val="28"/>
        </w:rPr>
        <w:t>ют и</w:t>
      </w:r>
      <w:r w:rsidR="00DC7002" w:rsidRPr="00DC7002">
        <w:rPr>
          <w:rFonts w:ascii="Times New Roman" w:eastAsia="Calibri" w:hAnsi="Times New Roman" w:cs="Times New Roman"/>
          <w:sz w:val="28"/>
          <w:szCs w:val="28"/>
        </w:rPr>
        <w:t xml:space="preserve"> родители, хотя по-прежнему, близкие несут ответственность за то, как складывается жизнь </w:t>
      </w:r>
      <w:r w:rsidR="00DC7002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DC7002" w:rsidRPr="00DC7002">
        <w:rPr>
          <w:rFonts w:ascii="Times New Roman" w:eastAsia="Calibri" w:hAnsi="Times New Roman" w:cs="Times New Roman"/>
          <w:sz w:val="28"/>
          <w:szCs w:val="28"/>
        </w:rPr>
        <w:t xml:space="preserve">детей. </w:t>
      </w:r>
    </w:p>
    <w:p w:rsidR="00DC7002" w:rsidRDefault="004031AE" w:rsidP="0040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п</w:t>
      </w:r>
      <w:r w:rsidR="00DC7002" w:rsidRPr="006C4442">
        <w:rPr>
          <w:rFonts w:ascii="Times New Roman" w:eastAsia="Calibri" w:hAnsi="Times New Roman" w:cs="Times New Roman"/>
          <w:sz w:val="28"/>
          <w:szCs w:val="28"/>
        </w:rPr>
        <w:t>озиция выбора профессии одиннадцатиклассник</w:t>
      </w:r>
      <w:r w:rsidR="00DC7002">
        <w:rPr>
          <w:rFonts w:ascii="Times New Roman" w:eastAsia="Calibri" w:hAnsi="Times New Roman" w:cs="Times New Roman"/>
          <w:sz w:val="28"/>
          <w:szCs w:val="28"/>
        </w:rPr>
        <w:t>а</w:t>
      </w:r>
      <w:r w:rsidR="00DC7002" w:rsidRPr="006C4442">
        <w:rPr>
          <w:rFonts w:ascii="Times New Roman" w:eastAsia="Calibri" w:hAnsi="Times New Roman" w:cs="Times New Roman"/>
          <w:sz w:val="28"/>
          <w:szCs w:val="28"/>
        </w:rPr>
        <w:t>м</w:t>
      </w:r>
      <w:r w:rsidR="00DC7002">
        <w:rPr>
          <w:rFonts w:ascii="Times New Roman" w:eastAsia="Calibri" w:hAnsi="Times New Roman" w:cs="Times New Roman"/>
          <w:sz w:val="28"/>
          <w:szCs w:val="28"/>
        </w:rPr>
        <w:t>и химико-биологического профиля</w:t>
      </w:r>
      <w:r w:rsidR="00DC7002" w:rsidRPr="006C4442">
        <w:rPr>
          <w:rFonts w:ascii="Times New Roman" w:eastAsia="Calibri" w:hAnsi="Times New Roman" w:cs="Times New Roman"/>
          <w:sz w:val="28"/>
          <w:szCs w:val="28"/>
        </w:rPr>
        <w:t xml:space="preserve"> более взвешенная, чем год назад.</w:t>
      </w:r>
    </w:p>
    <w:p w:rsidR="00131C39" w:rsidRDefault="00131C39" w:rsidP="00403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9">
        <w:rPr>
          <w:rFonts w:ascii="Times New Roman" w:hAnsi="Times New Roman" w:cs="Times New Roman"/>
          <w:sz w:val="28"/>
          <w:szCs w:val="28"/>
        </w:rPr>
        <w:t>Управление выбором профессии немыслимо без знания личности, ее структуры</w:t>
      </w:r>
      <w:r w:rsidR="00DC7002">
        <w:rPr>
          <w:rFonts w:ascii="Times New Roman" w:hAnsi="Times New Roman" w:cs="Times New Roman"/>
          <w:sz w:val="28"/>
          <w:szCs w:val="28"/>
        </w:rPr>
        <w:t>,</w:t>
      </w:r>
      <w:r w:rsidRPr="00131C39">
        <w:rPr>
          <w:rFonts w:ascii="Times New Roman" w:hAnsi="Times New Roman" w:cs="Times New Roman"/>
          <w:sz w:val="28"/>
          <w:szCs w:val="28"/>
        </w:rPr>
        <w:t xml:space="preserve"> учета индивидуально-психологических особенностей обучающихся. Хотя не всегда просто помочь юноше или девушке определить свое призвание, тем не менее, нельзя признать нормальным, когда после окончания школы ученик не знает, способен ли он к чему-нибудь, где найти занятие по душе. </w:t>
      </w:r>
    </w:p>
    <w:p w:rsidR="007F4DA8" w:rsidRPr="006C4442" w:rsidRDefault="002D3B64" w:rsidP="0046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7">
        <w:rPr>
          <w:rFonts w:ascii="Times New Roman" w:hAnsi="Times New Roman" w:cs="Times New Roman"/>
          <w:sz w:val="28"/>
          <w:szCs w:val="28"/>
        </w:rPr>
        <w:t>Необходимо практиковать в учебн</w:t>
      </w:r>
      <w:r w:rsidR="004611EA">
        <w:rPr>
          <w:rFonts w:ascii="Times New Roman" w:hAnsi="Times New Roman" w:cs="Times New Roman"/>
          <w:sz w:val="28"/>
          <w:szCs w:val="28"/>
        </w:rPr>
        <w:t>ых</w:t>
      </w:r>
      <w:r w:rsidRPr="008D4EE7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4611EA">
        <w:rPr>
          <w:rFonts w:ascii="Times New Roman" w:hAnsi="Times New Roman" w:cs="Times New Roman"/>
          <w:sz w:val="28"/>
          <w:szCs w:val="28"/>
        </w:rPr>
        <w:t>ях</w:t>
      </w:r>
      <w:r w:rsidRPr="008D4EE7">
        <w:rPr>
          <w:rFonts w:ascii="Times New Roman" w:hAnsi="Times New Roman" w:cs="Times New Roman"/>
          <w:sz w:val="28"/>
          <w:szCs w:val="28"/>
        </w:rPr>
        <w:t xml:space="preserve"> активные формы и методы работы, которые повысили бы уровень знаний и </w:t>
      </w:r>
      <w:proofErr w:type="gramStart"/>
      <w:r w:rsidRPr="008D4EE7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8D4EE7">
        <w:rPr>
          <w:rFonts w:ascii="Times New Roman" w:hAnsi="Times New Roman" w:cs="Times New Roman"/>
          <w:sz w:val="28"/>
          <w:szCs w:val="28"/>
        </w:rPr>
        <w:t xml:space="preserve"> </w:t>
      </w:r>
      <w:r w:rsidRPr="008D4EE7">
        <w:rPr>
          <w:rFonts w:ascii="Times New Roman" w:hAnsi="Times New Roman" w:cs="Times New Roman"/>
          <w:sz w:val="28"/>
          <w:szCs w:val="28"/>
        </w:rPr>
        <w:lastRenderedPageBreak/>
        <w:t>обучающихся о психологии личности, о том, что такое способности, интересы, потребности, темперамент, черты характера.</w:t>
      </w:r>
      <w:r w:rsidR="004611EA">
        <w:rPr>
          <w:rFonts w:ascii="Times New Roman" w:hAnsi="Times New Roman" w:cs="Times New Roman"/>
          <w:sz w:val="28"/>
          <w:szCs w:val="28"/>
        </w:rPr>
        <w:t xml:space="preserve"> </w:t>
      </w:r>
      <w:r w:rsid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7F4DA8" w:rsidRPr="006C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классах основной акцент должен переноситься на конкретный выбор</w:t>
      </w:r>
      <w:r w:rsidR="007F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</w:t>
      </w:r>
      <w:r w:rsidR="007F4DA8" w:rsidRPr="006C44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не надо давать школьникам готовых рекомендаций, а постепенно формировать готовность самостоятельно совершать выбор. Только в этом случае можно говорить о настоящем профессиональном выборе и самоопределении.  </w:t>
      </w:r>
    </w:p>
    <w:p w:rsidR="004611EA" w:rsidRPr="004611EA" w:rsidRDefault="004611EA" w:rsidP="004611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4611EA" w:rsidRPr="004611EA" w:rsidRDefault="004611EA" w:rsidP="0096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6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Г.М. « Социальная психология»</w:t>
      </w:r>
      <w:r w:rsidR="00964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Педагогика. 1997</w:t>
      </w:r>
    </w:p>
    <w:p w:rsidR="004611EA" w:rsidRPr="004611EA" w:rsidRDefault="00964F15" w:rsidP="0096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Дубровиной И.В. «Руководство практического </w:t>
      </w:r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психолога»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Асабет</w:t>
      </w:r>
      <w:proofErr w:type="spellEnd"/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1995.</w:t>
      </w:r>
    </w:p>
    <w:p w:rsidR="00964F15" w:rsidRDefault="00964F15" w:rsidP="0096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«Практическая психология образования» \ под ред.  И.В. Дубровиной: Учебник для студентов высших, средних специальных учебных заведений. М.: </w:t>
      </w:r>
      <w:proofErr w:type="spellStart"/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ТЦи</w:t>
      </w:r>
      <w:proofErr w:type="spellEnd"/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Сфера. 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1EA" w:rsidRDefault="004611EA" w:rsidP="0096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</w:t>
      </w:r>
      <w:proofErr w:type="gramEnd"/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«Псих</w:t>
      </w:r>
      <w:bookmarkStart w:id="0" w:name="_GoBack"/>
      <w:bookmarkEnd w:id="0"/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ологическое сопровождение выбора профессий»</w:t>
      </w:r>
      <w:r w:rsidR="00964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964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сихолого-социальный институт, изд. «</w:t>
      </w:r>
      <w:proofErr w:type="spellStart"/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Филинта</w:t>
      </w:r>
      <w:proofErr w:type="spellEnd"/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6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2003.</w:t>
      </w:r>
    </w:p>
    <w:p w:rsidR="004611EA" w:rsidRPr="004611EA" w:rsidRDefault="00964F15" w:rsidP="0096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«Игры и методики для профессионального самоопределения старшеклассников». М.: Первое сентября. 2004. 224 с.       </w:t>
      </w:r>
    </w:p>
    <w:p w:rsidR="004611EA" w:rsidRPr="004611EA" w:rsidRDefault="00964F15" w:rsidP="0096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«</w:t>
      </w:r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управления: Курс лекций» \отв. ред. М.В. Удальцова.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Новосибирск. Сибирское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глашение. М.: ИНФРА. М.: 2000.</w:t>
      </w:r>
    </w:p>
    <w:p w:rsidR="004611EA" w:rsidRPr="004611EA" w:rsidRDefault="00964F15" w:rsidP="0096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11EA" w:rsidRPr="004611E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Урбанович А.А. «Психология управления», Минск «Харвест»,2001.</w:t>
      </w:r>
    </w:p>
    <w:p w:rsidR="00637F1C" w:rsidRPr="004611EA" w:rsidRDefault="00637F1C" w:rsidP="0046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A3" w:rsidRPr="004611EA" w:rsidRDefault="002319A3" w:rsidP="0046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19A3" w:rsidRPr="004611EA" w:rsidSect="00B258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49A5"/>
    <w:multiLevelType w:val="hybridMultilevel"/>
    <w:tmpl w:val="2ED03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F5F9E"/>
    <w:multiLevelType w:val="hybridMultilevel"/>
    <w:tmpl w:val="638EAD3A"/>
    <w:lvl w:ilvl="0" w:tplc="95DA5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1F0C9E"/>
    <w:multiLevelType w:val="hybridMultilevel"/>
    <w:tmpl w:val="B4C45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D537F"/>
    <w:multiLevelType w:val="multilevel"/>
    <w:tmpl w:val="1114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824EB"/>
    <w:multiLevelType w:val="hybridMultilevel"/>
    <w:tmpl w:val="01627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58"/>
    <w:rsid w:val="00072784"/>
    <w:rsid w:val="000921CB"/>
    <w:rsid w:val="000E7E4B"/>
    <w:rsid w:val="000F4F83"/>
    <w:rsid w:val="000F6C0B"/>
    <w:rsid w:val="00103A76"/>
    <w:rsid w:val="00131C39"/>
    <w:rsid w:val="00170B7F"/>
    <w:rsid w:val="001D66AA"/>
    <w:rsid w:val="00201460"/>
    <w:rsid w:val="0021697B"/>
    <w:rsid w:val="002214E8"/>
    <w:rsid w:val="002319A3"/>
    <w:rsid w:val="002439B6"/>
    <w:rsid w:val="00255862"/>
    <w:rsid w:val="002969BC"/>
    <w:rsid w:val="002D3B64"/>
    <w:rsid w:val="002D469C"/>
    <w:rsid w:val="002F290D"/>
    <w:rsid w:val="00303742"/>
    <w:rsid w:val="00356860"/>
    <w:rsid w:val="003F40EF"/>
    <w:rsid w:val="004031AE"/>
    <w:rsid w:val="004611EA"/>
    <w:rsid w:val="004760BE"/>
    <w:rsid w:val="004C5171"/>
    <w:rsid w:val="00590DC3"/>
    <w:rsid w:val="0059335E"/>
    <w:rsid w:val="005949A3"/>
    <w:rsid w:val="006316DB"/>
    <w:rsid w:val="00637F1C"/>
    <w:rsid w:val="00692880"/>
    <w:rsid w:val="006B74B0"/>
    <w:rsid w:val="006C0A7B"/>
    <w:rsid w:val="006C4442"/>
    <w:rsid w:val="006C47B5"/>
    <w:rsid w:val="006F1006"/>
    <w:rsid w:val="006F4F9A"/>
    <w:rsid w:val="007564F8"/>
    <w:rsid w:val="007F1F9C"/>
    <w:rsid w:val="007F2437"/>
    <w:rsid w:val="007F4DA8"/>
    <w:rsid w:val="007F7E0F"/>
    <w:rsid w:val="00805C0A"/>
    <w:rsid w:val="008D4EE7"/>
    <w:rsid w:val="00964F15"/>
    <w:rsid w:val="009D5263"/>
    <w:rsid w:val="00A17E77"/>
    <w:rsid w:val="00A22E06"/>
    <w:rsid w:val="00A25FE3"/>
    <w:rsid w:val="00AB7C61"/>
    <w:rsid w:val="00AC2280"/>
    <w:rsid w:val="00B17307"/>
    <w:rsid w:val="00B2584E"/>
    <w:rsid w:val="00B51E80"/>
    <w:rsid w:val="00B8465C"/>
    <w:rsid w:val="00BC175D"/>
    <w:rsid w:val="00C0203D"/>
    <w:rsid w:val="00C61053"/>
    <w:rsid w:val="00C871BD"/>
    <w:rsid w:val="00CC33F6"/>
    <w:rsid w:val="00CD6FC1"/>
    <w:rsid w:val="00CE0258"/>
    <w:rsid w:val="00CE0A2D"/>
    <w:rsid w:val="00D16E4F"/>
    <w:rsid w:val="00D671B2"/>
    <w:rsid w:val="00D94855"/>
    <w:rsid w:val="00DC7002"/>
    <w:rsid w:val="00E34A3E"/>
    <w:rsid w:val="00EB5AB6"/>
    <w:rsid w:val="00FB3A11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44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4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4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4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C4442"/>
  </w:style>
  <w:style w:type="table" w:styleId="a3">
    <w:name w:val="Table Grid"/>
    <w:basedOn w:val="a1"/>
    <w:rsid w:val="006C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C4442"/>
  </w:style>
  <w:style w:type="paragraph" w:customStyle="1" w:styleId="c9">
    <w:name w:val="c9"/>
    <w:basedOn w:val="a"/>
    <w:rsid w:val="006C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basedOn w:val="a0"/>
    <w:rsid w:val="006C4442"/>
  </w:style>
  <w:style w:type="character" w:customStyle="1" w:styleId="c3">
    <w:name w:val="c3"/>
    <w:basedOn w:val="a0"/>
    <w:rsid w:val="006C4442"/>
  </w:style>
  <w:style w:type="paragraph" w:customStyle="1" w:styleId="c1">
    <w:name w:val="c1"/>
    <w:basedOn w:val="a"/>
    <w:rsid w:val="006C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4442"/>
  </w:style>
  <w:style w:type="character" w:customStyle="1" w:styleId="apple-converted-space">
    <w:name w:val="apple-converted-space"/>
    <w:basedOn w:val="a0"/>
    <w:rsid w:val="006C4442"/>
  </w:style>
  <w:style w:type="character" w:customStyle="1" w:styleId="c5">
    <w:name w:val="c5"/>
    <w:basedOn w:val="a0"/>
    <w:rsid w:val="006C4442"/>
  </w:style>
  <w:style w:type="paragraph" w:styleId="a4">
    <w:name w:val="Body Text"/>
    <w:basedOn w:val="a"/>
    <w:link w:val="a5"/>
    <w:rsid w:val="006C444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C444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Normal (Web)"/>
    <w:basedOn w:val="a"/>
    <w:rsid w:val="006C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F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3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44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4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4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4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C4442"/>
  </w:style>
  <w:style w:type="table" w:styleId="a3">
    <w:name w:val="Table Grid"/>
    <w:basedOn w:val="a1"/>
    <w:rsid w:val="006C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C4442"/>
  </w:style>
  <w:style w:type="paragraph" w:customStyle="1" w:styleId="c9">
    <w:name w:val="c9"/>
    <w:basedOn w:val="a"/>
    <w:rsid w:val="006C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basedOn w:val="a0"/>
    <w:rsid w:val="006C4442"/>
  </w:style>
  <w:style w:type="character" w:customStyle="1" w:styleId="c3">
    <w:name w:val="c3"/>
    <w:basedOn w:val="a0"/>
    <w:rsid w:val="006C4442"/>
  </w:style>
  <w:style w:type="paragraph" w:customStyle="1" w:styleId="c1">
    <w:name w:val="c1"/>
    <w:basedOn w:val="a"/>
    <w:rsid w:val="006C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4442"/>
  </w:style>
  <w:style w:type="character" w:customStyle="1" w:styleId="apple-converted-space">
    <w:name w:val="apple-converted-space"/>
    <w:basedOn w:val="a0"/>
    <w:rsid w:val="006C4442"/>
  </w:style>
  <w:style w:type="character" w:customStyle="1" w:styleId="c5">
    <w:name w:val="c5"/>
    <w:basedOn w:val="a0"/>
    <w:rsid w:val="006C4442"/>
  </w:style>
  <w:style w:type="paragraph" w:styleId="a4">
    <w:name w:val="Body Text"/>
    <w:basedOn w:val="a"/>
    <w:link w:val="a5"/>
    <w:rsid w:val="006C444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C444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Normal (Web)"/>
    <w:basedOn w:val="a"/>
    <w:rsid w:val="006C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F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873015873015873E-2"/>
          <c:y val="4.3165467625899283E-2"/>
          <c:w val="0.92539682539682544"/>
          <c:h val="0.664268585131894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074998437695267E-2"/>
                  <c:y val="-1.834827728736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0662104736908E-2"/>
                  <c:y val="-1.2415194768893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600049993750931E-3"/>
                  <c:y val="-1.0911710101575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241797900261573E-3"/>
                  <c:y val="-2.460916055737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химико-биологический профиль</c:v>
                </c:pt>
                <c:pt idx="1">
                  <c:v>социально-математический профиль</c:v>
                </c:pt>
                <c:pt idx="2">
                  <c:v>10-б класс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20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5081396075490653E-3"/>
                  <c:y val="-2.1765198326503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01865391826021E-2"/>
                  <c:y val="-3.1438380616386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382858392700939E-2"/>
                  <c:y val="-1.8105954705891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903551118610097E-2"/>
                  <c:y val="-1.2618752883510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химико-биологический профиль</c:v>
                </c:pt>
                <c:pt idx="1">
                  <c:v>социально-математический профиль</c:v>
                </c:pt>
                <c:pt idx="2">
                  <c:v>10-б класс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76</c:v>
                </c:pt>
                <c:pt idx="1">
                  <c:v>30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327193475815523E-2"/>
                  <c:y val="-3.8551769069908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4631608548929E-2"/>
                  <c:y val="-1.9447972942525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074225096862867E-2"/>
                  <c:y val="-6.298858827337885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56641357330269E-2"/>
                  <c:y val="-1.640069846794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химико-биологический профиль</c:v>
                </c:pt>
                <c:pt idx="1">
                  <c:v>социально-математический профиль</c:v>
                </c:pt>
                <c:pt idx="2">
                  <c:v>10-б класс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12</c:v>
                </c:pt>
                <c:pt idx="1">
                  <c:v>50</c:v>
                </c:pt>
                <c:pt idx="2">
                  <c:v>33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неготовность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7695522434695777E-3"/>
                  <c:y val="-1.1604535398401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275778027746527E-2"/>
                  <c:y val="-1.640069846794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583583302087357E-3"/>
                  <c:y val="-1.8798780002717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1772825271840457E-3"/>
                  <c:y val="-1.4002616933173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химико-биологический профиль</c:v>
                </c:pt>
                <c:pt idx="1">
                  <c:v>социально-математический профиль</c:v>
                </c:pt>
                <c:pt idx="2">
                  <c:v>10-б класс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8584576"/>
        <c:axId val="88586112"/>
        <c:axId val="0"/>
      </c:bar3DChart>
      <c:catAx>
        <c:axId val="8858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8586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586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85845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126984126984127"/>
          <c:y val="0.81294964028776984"/>
          <c:w val="0.71746031746031746"/>
          <c:h val="0.17985611510791366"/>
        </c:manualLayout>
      </c:layout>
      <c:overlay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469914040114609E-2"/>
          <c:y val="0.19070904645476772"/>
          <c:w val="0.92263610315186251"/>
          <c:h val="0.3985330073349633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химико-биологический профиль</c:v>
                </c:pt>
              </c:strCache>
            </c:strRef>
          </c:tx>
          <c:spPr>
            <a:ln w="38070">
              <a:solidFill>
                <a:srgbClr val="FF00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4729955110814875E-2"/>
                  <c:y val="-2.60472023744404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847657580269912E-3"/>
                  <c:y val="-4.8867232855499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913353620122902E-2"/>
                  <c:y val="-5.4531460813840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942089768767738E-2"/>
                  <c:y val="-5.7302367929744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182712014817778E-2"/>
                  <c:y val="-4.7644579990694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211299876913654E-2"/>
                  <c:y val="-5.1678777503355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867408966186098E-3"/>
                  <c:y val="-4.1532269530316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4"/>
                <c:pt idx="0">
                  <c:v>однородность типов личности и окружения</c:v>
                </c:pt>
                <c:pt idx="1">
                  <c:v>дифференцированность личности и ее интересов</c:v>
                </c:pt>
                <c:pt idx="2">
                  <c:v>круг интересов</c:v>
                </c:pt>
                <c:pt idx="3">
                  <c:v>соответствие типа личности профилю обучения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76</c:v>
                </c:pt>
                <c:pt idx="1">
                  <c:v>50</c:v>
                </c:pt>
                <c:pt idx="2">
                  <c:v>12</c:v>
                </c:pt>
                <c:pt idx="3">
                  <c:v>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социально-математический профиль</c:v>
                </c:pt>
              </c:strCache>
            </c:strRef>
          </c:tx>
          <c:spPr>
            <a:ln w="38070">
              <a:solidFill>
                <a:srgbClr val="0000FF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1864625597920898E-2"/>
                  <c:y val="-1.8060400367571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211413322496932E-2"/>
                  <c:y val="-5.0700768915489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942006915251856E-2"/>
                  <c:y val="-4.935620345482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091996295131089E-3"/>
                  <c:y val="-2.0505388142632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913371040605698E-2"/>
                  <c:y val="-6.5370695565855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047976094678711E-2"/>
                  <c:y val="-4.0920817815244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605236180745253E-2"/>
                  <c:y val="-1.1580964514511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4"/>
                <c:pt idx="0">
                  <c:v>однородность типов личности и окружения</c:v>
                </c:pt>
                <c:pt idx="1">
                  <c:v>дифференцированность личности и ее интересов</c:v>
                </c:pt>
                <c:pt idx="2">
                  <c:v>круг интересов</c:v>
                </c:pt>
                <c:pt idx="3">
                  <c:v>соответствие типа личности профилю обучения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100</c:v>
                </c:pt>
                <c:pt idx="1">
                  <c:v>30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10-б класс</c:v>
                </c:pt>
              </c:strCache>
            </c:strRef>
          </c:tx>
          <c:spPr>
            <a:ln w="38070">
              <a:solidFill>
                <a:srgbClr val="00800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613396657213293E-2"/>
                  <c:y val="-2.90220488461198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076742835390944E-2"/>
                  <c:y val="2.64384175720674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867060556530502E-3"/>
                  <c:y val="-1.4107477918814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778765986532795E-2"/>
                  <c:y val="2.4767682205224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538012874416694E-2"/>
                  <c:y val="-4.32752681857017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182646581784769E-2"/>
                  <c:y val="2.3993429797006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778717973982585E-2"/>
                  <c:y val="4.5346481090870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4"/>
                <c:pt idx="0">
                  <c:v>однородность типов личности и окружения</c:v>
                </c:pt>
                <c:pt idx="1">
                  <c:v>дифференцированность личности и ее интересов</c:v>
                </c:pt>
                <c:pt idx="2">
                  <c:v>круг интересов</c:v>
                </c:pt>
                <c:pt idx="3">
                  <c:v>соответствие типа личности профилю обучения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89</c:v>
                </c:pt>
                <c:pt idx="1">
                  <c:v>39</c:v>
                </c:pt>
                <c:pt idx="2">
                  <c:v>6</c:v>
                </c:pt>
                <c:pt idx="3">
                  <c:v>83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ln w="38070">
              <a:solidFill>
                <a:srgbClr val="80008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8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268637059238953E-2"/>
                  <c:y val="-2.9673887527805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847657580269912E-3"/>
                  <c:y val="-3.5379003583436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766177265819819E-3"/>
                  <c:y val="-2.3154064708130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942089768767738E-2"/>
                  <c:y val="1.8410727467908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8847177454767778E-3"/>
                  <c:y val="-4.612808627460836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644047486876562E-2"/>
                  <c:y val="-4.230652193853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4"/>
                <c:pt idx="0">
                  <c:v>однородность типов личности и окружения</c:v>
                </c:pt>
                <c:pt idx="1">
                  <c:v>дифференцированность личности и ее интересов</c:v>
                </c:pt>
                <c:pt idx="2">
                  <c:v>круг интересов</c:v>
                </c:pt>
                <c:pt idx="3">
                  <c:v>соответствие типа личности профилю обучения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752064"/>
        <c:axId val="129835776"/>
      </c:lineChart>
      <c:catAx>
        <c:axId val="12975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9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9835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8357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6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9752064"/>
        <c:crosses val="autoZero"/>
        <c:crossBetween val="between"/>
      </c:valAx>
      <c:spPr>
        <a:solidFill>
          <a:srgbClr val="FFFFFF"/>
        </a:solidFill>
        <a:ln w="12690">
          <a:solidFill>
            <a:srgbClr val="FFFFFF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3.2357772451934732E-4"/>
          <c:y val="1.0751707679732526E-3"/>
          <c:w val="0.9484240687679083"/>
          <c:h val="0.11980440097799511"/>
        </c:manualLayout>
      </c:layout>
      <c:overlay val="0"/>
      <c:spPr>
        <a:solidFill>
          <a:srgbClr val="FFFFFF"/>
        </a:solidFill>
        <a:ln w="12690">
          <a:solidFill>
            <a:srgbClr val="FFFFFF"/>
          </a:solidFill>
          <a:prstDash val="solid"/>
        </a:ln>
      </c:spPr>
      <c:txPr>
        <a:bodyPr/>
        <a:lstStyle/>
        <a:p>
          <a:pPr>
            <a:defRPr sz="103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12690">
      <a:solidFill>
        <a:srgbClr val="FFFFFF"/>
      </a:solidFill>
      <a:prstDash val="solid"/>
    </a:ln>
  </c:spPr>
  <c:txPr>
    <a:bodyPr/>
    <a:lstStyle/>
    <a:p>
      <a:pPr>
        <a:defRPr sz="17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873015873015873E-2"/>
          <c:y val="4.3165467625899283E-2"/>
          <c:w val="0.92539682539682544"/>
          <c:h val="0.664268585131894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полное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074998437695267E-2"/>
                  <c:y val="-1.834827728736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0662104736908E-2"/>
                  <c:y val="-1.2415194768893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600049993750931E-3"/>
                  <c:y val="-1.0911710101575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241797900261573E-3"/>
                  <c:y val="-2.460916055737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12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частичное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5081396075490653E-3"/>
                  <c:y val="-2.1765198326503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01865391826021E-2"/>
                  <c:y val="-3.1438380616386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382858392700939E-2"/>
                  <c:y val="-1.8105954705891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903551118610097E-2"/>
                  <c:y val="-1.2618752883510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50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соответствие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327193475815523E-2"/>
                  <c:y val="-3.8551769069908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4631608548929E-2"/>
                  <c:y val="-1.9447972942525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074225096862867E-2"/>
                  <c:y val="-6.298858827337885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56641357330269E-2"/>
                  <c:y val="-1.640069846794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38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8635648"/>
        <c:axId val="88645632"/>
        <c:axId val="0"/>
      </c:bar3DChart>
      <c:catAx>
        <c:axId val="8863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864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645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86356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126984126984127"/>
          <c:y val="0.81294964028776984"/>
          <c:w val="0.71746031746031746"/>
          <c:h val="0.17985611510791366"/>
        </c:manualLayout>
      </c:layout>
      <c:overlay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DC54-E71D-430F-80CA-129BA057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Жижова</dc:creator>
  <cp:lastModifiedBy>Ольга Жижова</cp:lastModifiedBy>
  <cp:revision>10</cp:revision>
  <dcterms:created xsi:type="dcterms:W3CDTF">2015-01-08T09:36:00Z</dcterms:created>
  <dcterms:modified xsi:type="dcterms:W3CDTF">2015-01-09T12:41:00Z</dcterms:modified>
</cp:coreProperties>
</file>