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D" w:rsidRDefault="001363ED" w:rsidP="00136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ED" w:rsidRDefault="001363ED" w:rsidP="00136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ED" w:rsidRDefault="001363ED" w:rsidP="00136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ED" w:rsidRDefault="001363ED" w:rsidP="00136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Default="001363ED" w:rsidP="001363ED">
      <w:pPr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Pr="004D3073" w:rsidRDefault="001363ED" w:rsidP="001363ED">
      <w:pPr>
        <w:jc w:val="center"/>
        <w:rPr>
          <w:rFonts w:ascii="a_AlbionicTtlRg&amp;Bt" w:hAnsi="a_AlbionicTtlRg&amp;Bt" w:cs="Arial"/>
          <w:b/>
          <w:bCs/>
          <w:color w:val="1F497D" w:themeColor="text2"/>
          <w:spacing w:val="-12"/>
          <w:kern w:val="36"/>
          <w:sz w:val="48"/>
          <w:szCs w:val="48"/>
        </w:rPr>
      </w:pPr>
      <w:r w:rsidRPr="004D3073">
        <w:rPr>
          <w:rFonts w:ascii="a_AlbionicTtlRg&amp;Bt" w:hAnsi="a_AlbionicTtlRg&amp;Bt" w:cs="Arial"/>
          <w:b/>
          <w:bCs/>
          <w:color w:val="1F497D" w:themeColor="text2"/>
          <w:spacing w:val="-12"/>
          <w:kern w:val="36"/>
          <w:sz w:val="48"/>
          <w:szCs w:val="48"/>
        </w:rPr>
        <w:t>Методическая разработка</w:t>
      </w:r>
    </w:p>
    <w:p w:rsidR="001363ED" w:rsidRDefault="001363ED" w:rsidP="001363ED">
      <w:pPr>
        <w:jc w:val="center"/>
        <w:rPr>
          <w:rFonts w:ascii="a_AlgeriusBlw" w:hAnsi="a_AlgeriusBlw" w:cs="Arial"/>
          <w:b/>
          <w:bCs/>
          <w:color w:val="1F497D" w:themeColor="text2"/>
          <w:spacing w:val="-12"/>
          <w:kern w:val="36"/>
          <w:sz w:val="40"/>
          <w:szCs w:val="40"/>
        </w:rPr>
      </w:pPr>
    </w:p>
    <w:p w:rsidR="001363ED" w:rsidRPr="004D3073" w:rsidRDefault="001363ED" w:rsidP="001363ED">
      <w:pPr>
        <w:jc w:val="center"/>
        <w:rPr>
          <w:rFonts w:ascii="a_AlgeriusBlw" w:hAnsi="a_AlgeriusBlw" w:cs="Arial"/>
          <w:b/>
          <w:bCs/>
          <w:color w:val="1F497D" w:themeColor="text2"/>
          <w:spacing w:val="-12"/>
          <w:kern w:val="36"/>
          <w:sz w:val="40"/>
          <w:szCs w:val="40"/>
        </w:rPr>
      </w:pP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Default="001363ED" w:rsidP="001363ED">
      <w:pPr>
        <w:jc w:val="center"/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</w:pPr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 xml:space="preserve">Влияние </w:t>
      </w:r>
      <w:proofErr w:type="gramStart"/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>поисково-экспериментальной</w:t>
      </w:r>
      <w:proofErr w:type="gramEnd"/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 xml:space="preserve"> </w:t>
      </w:r>
    </w:p>
    <w:p w:rsidR="001363ED" w:rsidRDefault="001363ED" w:rsidP="001363ED">
      <w:pPr>
        <w:jc w:val="center"/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</w:pPr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 xml:space="preserve">деятельности на </w:t>
      </w:r>
      <w:proofErr w:type="gramStart"/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>познавательно-речевое</w:t>
      </w:r>
      <w:proofErr w:type="gramEnd"/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 xml:space="preserve"> </w:t>
      </w:r>
    </w:p>
    <w:p w:rsidR="001363ED" w:rsidRDefault="001363ED" w:rsidP="001363ED">
      <w:pPr>
        <w:jc w:val="center"/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</w:pPr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 xml:space="preserve">развитие детей старшего дошкольного </w:t>
      </w:r>
    </w:p>
    <w:p w:rsidR="001363ED" w:rsidRPr="004D3073" w:rsidRDefault="001363ED" w:rsidP="001363ED">
      <w:pPr>
        <w:jc w:val="center"/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</w:pPr>
      <w:r w:rsidRPr="004D3073"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  <w:t>возраста</w:t>
      </w:r>
    </w:p>
    <w:p w:rsidR="001363ED" w:rsidRPr="004D3073" w:rsidRDefault="001363ED" w:rsidP="001363ED">
      <w:pPr>
        <w:jc w:val="center"/>
        <w:rPr>
          <w:rFonts w:ascii="a_AlgeriusBlw" w:hAnsi="a_AlgeriusBlw" w:cs="Arial"/>
          <w:bCs/>
          <w:color w:val="FF0000"/>
          <w:spacing w:val="-12"/>
          <w:kern w:val="36"/>
          <w:sz w:val="36"/>
          <w:szCs w:val="36"/>
        </w:rPr>
      </w:pP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Pr="004D3073" w:rsidRDefault="001363ED" w:rsidP="001363ED">
      <w:pPr>
        <w:jc w:val="right"/>
        <w:rPr>
          <w:rFonts w:asciiTheme="majorHAnsi" w:hAnsiTheme="majorHAnsi" w:cs="Arial"/>
          <w:bCs/>
          <w:spacing w:val="-12"/>
          <w:kern w:val="36"/>
          <w:sz w:val="28"/>
          <w:szCs w:val="28"/>
        </w:rPr>
      </w:pPr>
      <w:r w:rsidRPr="004D3073">
        <w:rPr>
          <w:rFonts w:asciiTheme="majorHAnsi" w:hAnsiTheme="majorHAnsi" w:cs="Arial"/>
          <w:bCs/>
          <w:spacing w:val="-12"/>
          <w:kern w:val="36"/>
          <w:sz w:val="28"/>
          <w:szCs w:val="28"/>
        </w:rPr>
        <w:t>Разработала воспитатель</w:t>
      </w:r>
    </w:p>
    <w:p w:rsidR="001363ED" w:rsidRPr="004D3073" w:rsidRDefault="001363ED" w:rsidP="001363ED">
      <w:pPr>
        <w:jc w:val="right"/>
        <w:rPr>
          <w:rFonts w:asciiTheme="majorHAnsi" w:hAnsiTheme="majorHAnsi" w:cs="Arial"/>
          <w:bCs/>
          <w:spacing w:val="-12"/>
          <w:kern w:val="36"/>
          <w:sz w:val="28"/>
          <w:szCs w:val="28"/>
        </w:rPr>
      </w:pPr>
      <w:r w:rsidRPr="004D3073">
        <w:rPr>
          <w:rFonts w:asciiTheme="majorHAnsi" w:hAnsiTheme="majorHAnsi" w:cs="Arial"/>
          <w:bCs/>
          <w:spacing w:val="-12"/>
          <w:kern w:val="36"/>
          <w:sz w:val="28"/>
          <w:szCs w:val="28"/>
        </w:rPr>
        <w:t>Саенко С.В.</w:t>
      </w:r>
    </w:p>
    <w:p w:rsidR="001363ED" w:rsidRPr="004D3073" w:rsidRDefault="001363ED" w:rsidP="001363ED">
      <w:pPr>
        <w:jc w:val="center"/>
        <w:rPr>
          <w:rFonts w:asciiTheme="majorHAnsi" w:hAnsiTheme="majorHAnsi" w:cs="Arial"/>
          <w:bCs/>
          <w:spacing w:val="-12"/>
          <w:kern w:val="36"/>
          <w:sz w:val="28"/>
          <w:szCs w:val="28"/>
        </w:rPr>
      </w:pPr>
      <w:r w:rsidRPr="004D3073">
        <w:rPr>
          <w:rFonts w:asciiTheme="majorHAnsi" w:hAnsiTheme="majorHAnsi" w:cs="Arial"/>
          <w:bCs/>
          <w:spacing w:val="-12"/>
          <w:kern w:val="36"/>
          <w:sz w:val="28"/>
          <w:szCs w:val="28"/>
        </w:rPr>
        <w:t>2014 г.</w:t>
      </w:r>
    </w:p>
    <w:p w:rsidR="001363ED" w:rsidRDefault="001363ED" w:rsidP="001363ED">
      <w:pPr>
        <w:jc w:val="center"/>
        <w:rPr>
          <w:rFonts w:ascii="Verdana" w:hAnsi="Verdana" w:cs="Arial"/>
          <w:b/>
          <w:bCs/>
          <w:color w:val="FF0000"/>
          <w:spacing w:val="-12"/>
          <w:kern w:val="36"/>
          <w:sz w:val="33"/>
          <w:szCs w:val="33"/>
        </w:rPr>
      </w:pPr>
    </w:p>
    <w:p w:rsidR="001363ED" w:rsidRPr="00073425" w:rsidRDefault="001363ED" w:rsidP="001363ED">
      <w:pPr>
        <w:spacing w:before="100" w:beforeAutospacing="1" w:after="270" w:line="270" w:lineRule="atLeast"/>
        <w:jc w:val="center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B2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1952625" cy="1704975"/>
            <wp:effectExtent l="19050" t="0" r="9525" b="0"/>
            <wp:docPr id="145" name="Рисунок 145" descr="http://im6-tub-ru.yandex.net/i?id=196310456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im6-tub-ru.yandex.net/i?id=196310456-69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</w:t>
      </w: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— великий дар природы, благодаря которому люди получают широкие возможности для общения друг с другом. Речь соединяет людей в их деятельности, помогает понять, формирует взгляды и убеждения, оказывает огромную услугу в познании мира. Развитие речи и экспериментирование тесно связаны между собой. Необходимо отметить двусторонний характер этих связей. Умение четко выразить свою мысль облегчает проведение опыта, в то время как пополнение знаний об окружающем мире способствует развитию речи. Дошкольники в процессе экспериментирования учатся ставить цель, решать проблемы и проверять их опытным путем, делать выводы, простые умозаключения. Радость, удивление и даже восторг они испытывают от своих маленьких и больших «открытий», которые вызывают у детей чувство удовлетворения от проделанной работы. В процессе экспериментирования дошкольник получает возможность удовлетворить присущую любознательность, ответить самому на сто тысяч «почему? зачем? как? что будет, если…?»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ребенок видит, слышит и делает всё сам, это усваивается прочно и надолго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процесс организации экспериментов в группе стал доступным, надо изучить соответствующую литературу, требования программы, федеральные государственные требования к организации предметно-пространственной среды для экспериментирования в старшем дошкольном возрасте.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поисково-экспериментальной деятельности дошкольников:</w:t>
      </w: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интересов, потребности и способности самостоятельной поисковой деятельности на базе обогащенного и сформированного эмоционально-чувственного опыта.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363ED" w:rsidRPr="006E739C" w:rsidRDefault="001363ED" w:rsidP="001363ED">
      <w:pPr>
        <w:numPr>
          <w:ilvl w:val="0"/>
          <w:numId w:val="1"/>
        </w:numPr>
        <w:spacing w:before="100" w:beforeAutospacing="1" w:after="270" w:line="240" w:lineRule="auto"/>
        <w:ind w:left="27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видеть многообразие мира в системе взаимосвязей;</w:t>
      </w:r>
    </w:p>
    <w:p w:rsidR="001363ED" w:rsidRPr="006E739C" w:rsidRDefault="001363ED" w:rsidP="001363ED">
      <w:pPr>
        <w:numPr>
          <w:ilvl w:val="0"/>
          <w:numId w:val="1"/>
        </w:numPr>
        <w:spacing w:before="100" w:beforeAutospacing="1" w:after="270" w:line="240" w:lineRule="auto"/>
        <w:ind w:left="27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умение сравнивать, анализировать, обобщать, развивать познавательный интерес в процессе экспериментирования, устанавливать причинно-следственную зависимость, умение делать выводы;</w:t>
      </w:r>
    </w:p>
    <w:p w:rsidR="001363ED" w:rsidRPr="006E739C" w:rsidRDefault="001363ED" w:rsidP="001363ED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</w:t>
      </w:r>
    </w:p>
    <w:p w:rsidR="001363ED" w:rsidRPr="000F4928" w:rsidRDefault="001363ED" w:rsidP="001363ED">
      <w:pPr>
        <w:numPr>
          <w:ilvl w:val="0"/>
          <w:numId w:val="1"/>
        </w:numPr>
        <w:spacing w:before="100" w:beforeAutospacing="1" w:after="270" w:line="240" w:lineRule="auto"/>
        <w:ind w:left="27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перспективу развития поисково-познавательной деятельности, поддерживать у детей инициативу, самостоятельность.</w:t>
      </w:r>
    </w:p>
    <w:p w:rsidR="001363ED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поставленных задач возможна только при условии тесного взаимодействия с педагогами и родителями воспитанников. </w:t>
      </w:r>
    </w:p>
    <w:p w:rsidR="001363ED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работы в группе надо создать предметно-развивающую среду, обеспечивающую возможность проведения опытов, наблюдений, экспериментов всеми детьми группы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формить материал для исследований, доступных для детского экспериментирования, картотеку серии экспериментов с объектами живой и неживой </w:t>
      </w: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природы (экспериментирование с воздухом, песком, глиной, с солнечным светом, с почвой: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«Тесная бутылка», «Двигаем предметы», «В мире стекла», «Чем нюхает червяк», «Сколько лет дереву?»), пополнение энциклопедиями.</w:t>
      </w:r>
      <w:proofErr w:type="gramEnd"/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оборудованием являются: лупы, весы, песочные часы, компас, магниты, сосуды из различных материалов, природный материал, утилизированный материал, технические материалы, разные виды бумаги, красители, медицинские материалы, прочие материалы.</w:t>
      </w:r>
      <w:proofErr w:type="gramEnd"/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оборудовании необходимо учитывать в группе следующие требования: безопасность, мобильность, достаточность, доступность расположения.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организации самостоятельной детской деятельности разработать карточки-схемы проведения экспериментов. Совместно с детьми разработать условные обозначения, разрешающие и запрещающие знаки. Материал для проведения опытов менять в соответствии с планом работы по данной теме.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детского экспериментирования сформирована так, ребенок совместно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 выделяет и ставит проблему, которую хочет решить, предлагает различные варианты ее решения, проверяет эти возможные решения, делает выводы, оформляет отчет или дневник наблюдений.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данный алгоритм будет отработан, детям предлагается самостоятельно выбрать проблему, способ её решения. На данном этапе особое внимание уделяется индивидуальной работе как с детьми, испытывающими затруднения, так и заинтересованными детьми.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показала практика, дети с желанием и интересом самостоятельно выбирают тему исследования, подбирают методы исследования, собирают материал. Этот интерес обусловлен тем, что простые исследования помогают ребенку реализовать себя в активной деятельности. Дети учатся самостоятельно разрабатывать гипотезы, стремятся к получению знаний опытным путем.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сборе сведений на определенную тему дети расспрашивают своих родителей, педагогов об интересующем их вопросе, тем самым обмениваются знаниями и опытом. Также обращаются к художественной и энциклопедической литературе как источнику информации, просят прочитать взрослых. Тем самым у детей развивается диалогическая, монологическая речь, речь-рассуждение.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Исследовательскую деятельность дошкольников обязательно интегрировать с другими видами детской деятельности: наблюдениями на прогулке, чтением, игрой, что позволяет создать условия для закрепления представлений о явлениях природы, свойствах материалов, веществ.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этой работы большинство воспитанников умеют более точно ставить цель опыта, высказывать гипотезы. Общаясь в процессе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научатся выстраивать диалог, слышать и слушать друг друга, не перебивать. Они с удовольствием будут работать сообща, уступать друг другу, отстаивать свою правоту или признают правоту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Еще одним хорошим центром для экспериментирования является центр «маленького волшебника», который насыщается многообразием современного художественного материала и оборудования. Это всевозможные цветные карандаши и фломастеры, акварель и гуашь, цветные мелки, пастель и уголь, а также восковые свечи, разнообразные печатки, ватные палочки, разные виды бумаги, ткани, другие всевозможные инструменты для исследования свойств художественных материалов. Доступность и свобода выбора здесь дают возможность каждому желающему экспериментировать, исследовать цвет, его свойства, пробовать новые техники и материалы, открывать для себя неизведанное.</w:t>
      </w:r>
    </w:p>
    <w:p w:rsidR="001363ED" w:rsidRPr="006E739C" w:rsidRDefault="001363ED" w:rsidP="001363ED">
      <w:pPr>
        <w:spacing w:before="100" w:beforeAutospacing="1" w:after="27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2247900"/>
            <wp:effectExtent l="19050" t="0" r="0" b="0"/>
            <wp:docPr id="3" name="Рисунок 31" descr="http://www.moluch.ru/conf/ped/archive/67/3454/images/47ae6f13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oluch.ru/conf/ped/archive/67/3454/images/47ae6f13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3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885950"/>
            <wp:effectExtent l="19050" t="0" r="9525" b="0"/>
            <wp:docPr id="6" name="Рисунок 29" descr="http://www.moluch.ru/conf/ped/archive/67/3454/images/3551a896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luch.ru/conf/ped/archive/67/3454/images/3551a896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какое удовольствие и неизгладимые впечатления оставляют в сердце ребенка знакомство с нетрадиционными техниками рисования и материалами. Давайте вспомним хорошо знакомые: </w:t>
      </w:r>
      <w:proofErr w:type="spell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набрызги</w:t>
      </w:r>
      <w:proofErr w:type="spell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красок, монотипия, разрисовка камешков, </w:t>
      </w:r>
      <w:proofErr w:type="spell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это многообразие изобразительных техник, конечно, используется с целью развития творческих способностей ребенка, научить новым приемам изображения рисования. Мы взрослые думаем, получив новый материал, ребенок просто рисует. А он сначала экспериментирует. Мы видим, как ребенок восторженными глазами следит за движениями краски — как и куда она потечет, замечая, что двух абсолютно одинаковых клякс не бывает, крутит лист бумаги, пытаясь разглядеть знакомые образы — на что же больше похожа эта клякса. Наблюдая за детьми, можно сказать, что самые интересные для них эксперименты — это, конечно, реальные опыты с реальными предметами и их свойствами.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Хочется отметить, что особую ценность для детских исследований и экспериментирования, а, следовательно, и для творческого развития ребенка, имеют «никому не нужные предметы». </w:t>
      </w:r>
      <w:proofErr w:type="gramStart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обычно — лоскутки тканей, бумага разной фактуры и цвета, опавшие листья, камешки, пряжа, пуговицы и другие «ценные» предметы.</w:t>
      </w:r>
      <w:proofErr w:type="gramEnd"/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предметы на самом деле обычно служат источником новых замыслов и одновременно материалом для проведения исследований. Так, изучая рельефы засушенного листика, окунув его в краску, дошкольник открывает для себя, какие необыкновенные отпечатки он оставляет на листе. И если потрудиться, можно изобразить великолепный пейзаж или узор. А с помощью природного материала (крупы, семена, плоды, ягоды и т. д.), выкладывая его в свободном порядке на пластилиновой форме, можно великолепно декорировать поднос, стаканы, создавать рисунки.</w:t>
      </w: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ED" w:rsidRPr="006E739C" w:rsidRDefault="001363ED" w:rsidP="001363ED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бойтесь экспериментировать и придумывать интересные задания для детей, побуждая их к творческому поиску, ведь детское экспериментирование располагает большими возможностями для формирования доказательной речи у старших дошкольников. Оно позволяет наглядно проследить зависимости разного рода, установить логические связи, выделить существенные признаки, свойства объектов, учит детей делать выводы. </w:t>
      </w:r>
    </w:p>
    <w:p w:rsidR="001363ED" w:rsidRDefault="001363ED" w:rsidP="001363ED">
      <w:pPr>
        <w:rPr>
          <w:rFonts w:ascii="Times New Roman" w:hAnsi="Times New Roman" w:cs="Times New Roman"/>
          <w:sz w:val="24"/>
          <w:szCs w:val="24"/>
        </w:rPr>
      </w:pPr>
      <w:r w:rsidRPr="006E739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250D8" w:rsidRDefault="006250D8"/>
    <w:sectPr w:rsidR="006250D8" w:rsidSect="001363E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bionicTtlRg&amp;Bt">
    <w:panose1 w:val="050C0804060308040604"/>
    <w:charset w:val="CC"/>
    <w:family w:val="swiss"/>
    <w:pitch w:val="variable"/>
    <w:sig w:usb0="00000201" w:usb1="00000000" w:usb2="00000000" w:usb3="00000000" w:csb0="00000004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5CB"/>
    <w:multiLevelType w:val="multilevel"/>
    <w:tmpl w:val="3F1A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ED"/>
    <w:rsid w:val="001017CB"/>
    <w:rsid w:val="001363ED"/>
    <w:rsid w:val="00152B64"/>
    <w:rsid w:val="006250D8"/>
    <w:rsid w:val="00751207"/>
    <w:rsid w:val="007F5D40"/>
    <w:rsid w:val="00AC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67/3454/images/3551a896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uch.ru/conf/ped/archive/67/3454/images/47ae6f13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2014-09-08T15:38:00Z</dcterms:created>
  <dcterms:modified xsi:type="dcterms:W3CDTF">2014-09-08T15:39:00Z</dcterms:modified>
</cp:coreProperties>
</file>