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B3" w:rsidRPr="00162951" w:rsidRDefault="001E1E3D" w:rsidP="00DE25D4">
      <w:pPr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2951">
        <w:rPr>
          <w:rFonts w:ascii="Times New Roman" w:eastAsia="Times New Roman" w:hAnsi="Times New Roman"/>
          <w:b/>
          <w:sz w:val="16"/>
          <w:szCs w:val="16"/>
          <w:lang w:eastAsia="ru-RU"/>
        </w:rPr>
        <w:t>МДОУ «Ц</w:t>
      </w:r>
      <w:r w:rsidR="00162951" w:rsidRPr="0016295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ентр развития ребенка – </w:t>
      </w:r>
      <w:r w:rsidRPr="00162951">
        <w:rPr>
          <w:rFonts w:ascii="Times New Roman" w:eastAsia="Times New Roman" w:hAnsi="Times New Roman"/>
          <w:b/>
          <w:sz w:val="16"/>
          <w:szCs w:val="16"/>
          <w:lang w:eastAsia="ru-RU"/>
        </w:rPr>
        <w:t>детский сад №17 «</w:t>
      </w:r>
      <w:r w:rsidR="00162951" w:rsidRPr="00162951">
        <w:rPr>
          <w:rFonts w:ascii="Times New Roman" w:eastAsia="Times New Roman" w:hAnsi="Times New Roman"/>
          <w:b/>
          <w:sz w:val="16"/>
          <w:szCs w:val="16"/>
          <w:lang w:eastAsia="ru-RU"/>
        </w:rPr>
        <w:t>Ладушки» г. Вольска Саратовской области</w:t>
      </w:r>
    </w:p>
    <w:p w:rsidR="002D2CB3" w:rsidRPr="00162951" w:rsidRDefault="002D2CB3" w:rsidP="007656A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D2CB3" w:rsidRPr="001E1E3D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3D" w:rsidRPr="001E1E3D" w:rsidRDefault="001E1E3D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3D" w:rsidRDefault="001E1E3D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3D" w:rsidRDefault="001E1E3D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3D" w:rsidRDefault="001E1E3D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E3D" w:rsidRPr="001E1E3D" w:rsidRDefault="001E1E3D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Default="00DE25D4" w:rsidP="00DE25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на тему: «Наш друг - Светофор»</w:t>
      </w:r>
    </w:p>
    <w:p w:rsidR="00DE25D4" w:rsidRDefault="00DE25D4" w:rsidP="00DE25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участия в областном конкурсе «Педагогический Олимп»</w:t>
      </w:r>
    </w:p>
    <w:p w:rsidR="00DE25D4" w:rsidRDefault="00DE25D4" w:rsidP="00DE25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номинации «педагог - педагогу».</w:t>
      </w:r>
    </w:p>
    <w:p w:rsidR="00DE25D4" w:rsidRDefault="00DE25D4" w:rsidP="00DE25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(старшая группа)</w:t>
      </w:r>
    </w:p>
    <w:p w:rsidR="00DE25D4" w:rsidRPr="00DE25D4" w:rsidRDefault="00DE25D4" w:rsidP="00DE25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DE25D4" w:rsidP="00DE25D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5D4">
        <w:rPr>
          <w:rFonts w:ascii="Times New Roman" w:eastAsia="Times New Roman" w:hAnsi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DE25D4" w:rsidRPr="00DE25D4" w:rsidRDefault="00DE25D4" w:rsidP="00DE25D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5D4">
        <w:rPr>
          <w:rFonts w:ascii="Times New Roman" w:eastAsia="Times New Roman" w:hAnsi="Times New Roman"/>
          <w:sz w:val="28"/>
          <w:szCs w:val="28"/>
          <w:lang w:eastAsia="ru-RU"/>
        </w:rPr>
        <w:t>Лоскутова Ю.В.</w:t>
      </w:r>
    </w:p>
    <w:p w:rsidR="00DE25D4" w:rsidRPr="00DE25D4" w:rsidRDefault="00DE25D4" w:rsidP="00DE25D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5D4">
        <w:rPr>
          <w:rFonts w:ascii="Times New Roman" w:eastAsia="Times New Roman" w:hAnsi="Times New Roman"/>
          <w:sz w:val="28"/>
          <w:szCs w:val="28"/>
          <w:lang w:eastAsia="ru-RU"/>
        </w:rPr>
        <w:t>Вольск 2013г.</w:t>
      </w: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CB3" w:rsidRPr="00DE25D4" w:rsidRDefault="002D2CB3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56AC" w:rsidRDefault="007656AC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</w:p>
    <w:p w:rsidR="007656AC" w:rsidRPr="0094309C" w:rsidRDefault="007656AC" w:rsidP="007656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309C">
        <w:rPr>
          <w:rFonts w:ascii="Times New Roman" w:eastAsia="Times New Roman" w:hAnsi="Times New Roman"/>
          <w:sz w:val="28"/>
          <w:szCs w:val="28"/>
          <w:lang w:eastAsia="ru-RU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</w:t>
      </w:r>
    </w:p>
    <w:p w:rsidR="007656AC" w:rsidRPr="0094309C" w:rsidRDefault="007656AC" w:rsidP="007656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 xml:space="preserve"> В 2013 году за 7 месяцев на дорогах </w:t>
      </w:r>
      <w:proofErr w:type="spellStart"/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>Вольского</w:t>
      </w:r>
      <w:proofErr w:type="spellEnd"/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произошло 72 дорожно-транспортного происшествия, в них погибло 9 человек. Особую опасность представляют скутеристы ( дет</w:t>
      </w:r>
      <w:proofErr w:type="gramStart"/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школьники</w:t>
      </w:r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>), которые создают на дорогах опасные ситуации.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4309C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 правильного поведения на дороге необходимо с раннего возраста, так как знания полученные в детстве, наиболее прочные; правила, усвоенные ребёнком, впоследствии становятся нормой поведения, а их соблюдени</w:t>
      </w:r>
      <w:proofErr w:type="gramStart"/>
      <w:r w:rsidRPr="0094309C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9430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потребностью человека.</w:t>
      </w:r>
    </w:p>
    <w:p w:rsidR="007656AC" w:rsidRPr="0094309C" w:rsidRDefault="007656AC" w:rsidP="007656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9C">
        <w:rPr>
          <w:rFonts w:ascii="Times New Roman" w:eastAsia="Times New Roman" w:hAnsi="Times New Roman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7656AC" w:rsidRPr="00B15670" w:rsidRDefault="007656AC" w:rsidP="007656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70">
        <w:rPr>
          <w:rFonts w:ascii="Times New Roman" w:eastAsia="Times New Roman" w:hAnsi="Times New Roman"/>
          <w:sz w:val="28"/>
          <w:szCs w:val="28"/>
          <w:lang w:eastAsia="ru-RU"/>
        </w:rPr>
        <w:t>Во многом безопасность пешехода  зависит от соблюдения им правил поведения на улице, поэтому необходимо обучать детей Правилам  безопасного поведения на дорогах через дидактические игры и упражнения, подвижны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игры,  сюжетно – ролевые игры.</w:t>
      </w:r>
    </w:p>
    <w:p w:rsidR="007656AC" w:rsidRPr="00C449D8" w:rsidRDefault="007656AC" w:rsidP="007656A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9D8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Известно, что привычки, закреплённые в детстве, остаются на всю жизнь, поэтому  одной из важных проблем  в обеспечении безопасности дорожного движения является профилактика детского дорожного травматизма в дошкольных учреждениях.  </w:t>
      </w:r>
    </w:p>
    <w:p w:rsidR="007656AC" w:rsidRDefault="007656AC" w:rsidP="007656A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AC" w:rsidRPr="008833FB" w:rsidRDefault="007656AC" w:rsidP="007656A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56AC" w:rsidRPr="0094309C" w:rsidRDefault="007656AC" w:rsidP="007656A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0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работы по проекту:</w:t>
      </w:r>
    </w:p>
    <w:p w:rsidR="007656AC" w:rsidRPr="0094309C" w:rsidRDefault="007656AC" w:rsidP="007656A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Наш друг Светофор </w:t>
      </w:r>
      <w:r w:rsidRPr="0094309C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536"/>
        <w:gridCol w:w="2851"/>
      </w:tblGrid>
      <w:tr w:rsidR="007656AC" w:rsidRPr="0094309C" w:rsidTr="00162AB5">
        <w:trPr>
          <w:trHeight w:val="971"/>
        </w:trPr>
        <w:tc>
          <w:tcPr>
            <w:tcW w:w="2410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</w:tr>
      <w:tr w:rsidR="007656AC" w:rsidRPr="0094309C" w:rsidTr="00162AB5">
        <w:trPr>
          <w:trHeight w:val="971"/>
        </w:trPr>
        <w:tc>
          <w:tcPr>
            <w:tcW w:w="2410" w:type="dxa"/>
            <w:vMerge w:val="restart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диагностического обследования детей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2013</w:t>
            </w:r>
          </w:p>
        </w:tc>
      </w:tr>
      <w:tr w:rsidR="007656AC" w:rsidRPr="0094309C" w:rsidTr="00162AB5">
        <w:trPr>
          <w:trHeight w:val="727"/>
        </w:trPr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B1083C" w:rsidRDefault="007656AC" w:rsidP="00162AB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5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Обыгрывание дидактических и подвижных игр по ПДД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июль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наблюдений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дорожным движением, транспортными средствами.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июль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в группе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 «Наш поселок»</w:t>
            </w:r>
          </w:p>
          <w:p w:rsidR="007656AC" w:rsidRPr="0094309C" w:rsidRDefault="007656AC" w:rsidP="00162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 ситуаций « Школа юных пешеходов»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и познавательной литературы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теме ПДД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детей</w:t>
            </w:r>
          </w:p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«Красный, желтый и зеленый»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 детских творческих работ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в месяц </w:t>
            </w:r>
          </w:p>
        </w:tc>
      </w:tr>
      <w:tr w:rsidR="007656AC" w:rsidRPr="0094309C" w:rsidTr="00162AB5">
        <w:trPr>
          <w:trHeight w:val="489"/>
        </w:trPr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Развлечение 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в месяц</w:t>
            </w:r>
          </w:p>
        </w:tc>
      </w:tr>
      <w:tr w:rsidR="007656AC" w:rsidRPr="0094309C" w:rsidTr="00162AB5">
        <w:tc>
          <w:tcPr>
            <w:tcW w:w="2410" w:type="dxa"/>
            <w:vMerge w:val="restart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Сотрудничество с родителями</w:t>
            </w: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в организации встречи с инспектором ГИБДД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в  организации елевых прогулок.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- август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помощи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изготовлении атрибутов для сюжетн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ролевых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дидактических игр.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Июнь - август</w:t>
            </w:r>
          </w:p>
        </w:tc>
      </w:tr>
      <w:tr w:rsidR="007656AC" w:rsidRPr="0094309C" w:rsidTr="00162AB5">
        <w:trPr>
          <w:trHeight w:val="737"/>
        </w:trPr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стенгазеты «Светофор»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 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в изготовлении буклетов  «Ваш ребенок на дороге»</w:t>
            </w:r>
          </w:p>
          <w:p w:rsidR="007656AC" w:rsidRPr="00874857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7656AC" w:rsidRPr="0094309C" w:rsidTr="00162AB5">
        <w:tc>
          <w:tcPr>
            <w:tcW w:w="2410" w:type="dxa"/>
            <w:vMerge w:val="restart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обеспечение</w:t>
            </w:r>
          </w:p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предметно-развивающе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среды.</w:t>
            </w:r>
          </w:p>
          <w:p w:rsidR="007656AC" w:rsidRPr="0094309C" w:rsidRDefault="007656AC" w:rsidP="00162AB5">
            <w:pPr>
              <w:spacing w:after="0" w:line="240" w:lineRule="atLeast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прогулок,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</w:t>
            </w:r>
            <w:proofErr w:type="spellEnd"/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Pr="0094309C" w:rsidRDefault="007656AC" w:rsidP="00162A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проекта</w:t>
            </w:r>
          </w:p>
        </w:tc>
      </w:tr>
      <w:tr w:rsidR="007656AC" w:rsidRPr="0094309C" w:rsidTr="00162AB5">
        <w:trPr>
          <w:trHeight w:val="656"/>
        </w:trPr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Подборка художественной литературы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тематике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Pr="0094309C" w:rsidRDefault="007656AC" w:rsidP="00162A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целевых прогулок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Pr="0094309C" w:rsidRDefault="007656AC" w:rsidP="00162AB5">
            <w:pPr>
              <w:spacing w:after="0" w:line="240" w:lineRule="atLeast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викторин, выставок творческих работ, развлечения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7656AC" w:rsidRPr="0094309C" w:rsidTr="00162AB5">
        <w:tc>
          <w:tcPr>
            <w:tcW w:w="2410" w:type="dxa"/>
            <w:vMerge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Консультативный материал для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Pr="0094309C" w:rsidRDefault="007656AC" w:rsidP="00162A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Михалков «Светофор», «Скверная история»,  М. </w:t>
            </w:r>
            <w:proofErr w:type="spell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«Светофор», А. Северный «Три чудесных цвета», Я. </w:t>
            </w:r>
            <w:proofErr w:type="spell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Пишумов</w:t>
            </w:r>
            <w:proofErr w:type="spellEnd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«Азбука города»,  «Просто это знак такой…», «Постовой»,  «Продуктовая машина»,  О. </w:t>
            </w:r>
            <w:proofErr w:type="spell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Бедарев</w:t>
            </w:r>
            <w:proofErr w:type="spellEnd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«Если бы…», Н. Носов «Автомобиль», В. Головко «Правила движения», (авторские сказки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7656AC" w:rsidRPr="003C2123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«Подбери знак», «Назови лишнее», «Собери машину», «Дорожное лото», «Найди нужный  знак», «Разрезные знаки», «Верно - неверно» Настольн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печатная игра «Дорога к бабушке»</w:t>
            </w:r>
          </w:p>
          <w:p w:rsidR="007656AC" w:rsidRPr="003C2123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«Собери автомобиль», «Кто быстрее», «Нарисуем дорогу», «Бегущий светофор», « К своим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флажкам»</w:t>
            </w:r>
          </w:p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Прогулка по поселку, наблюдение за дорожным движением.</w:t>
            </w:r>
          </w:p>
        </w:tc>
        <w:tc>
          <w:tcPr>
            <w:tcW w:w="2693" w:type="dxa"/>
            <w:shd w:val="clear" w:color="auto" w:fill="auto"/>
          </w:tcPr>
          <w:p w:rsidR="007656AC" w:rsidRPr="0094309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Д\и «Учим дорожные знаки»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дорожными знаками. Светофор.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рассказа С. Михалкова «Светофор» с последующим рисованием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с иллюстрациями, альбомный лист, восковые мелки.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по картине «Перекресток»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Картина, указка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«Собери автомобиль»,</w:t>
            </w:r>
          </w:p>
          <w:p w:rsidR="007656AC" w:rsidRDefault="007656AC" w:rsidP="007656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Сюжетно – ролевая игра «Автопарк»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Полифункциональное оборудование, атрибуты к игре, набор деревянного строителя, машины разного типа, игрушки из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киндера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Настольно – печатная игра «Путешествие к бабушке»,</w:t>
            </w:r>
          </w:p>
          <w:p w:rsidR="007656AC" w:rsidRDefault="007656AC" w:rsidP="007656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«Бегущий светофор»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Поле,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котром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изображен путь к бабушке с различными дорожными знаками, фишки, кубик. Флажки (красный, желтый, зеленый)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Строительная игра «Улицы города»</w:t>
            </w:r>
          </w:p>
          <w:p w:rsidR="007656AC" w:rsidRDefault="007656AC" w:rsidP="007656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«Кто быстрее?»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Строительный материал, машины, дорожные знаки.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«Три чудесных цвета»,</w:t>
            </w:r>
          </w:p>
          <w:p w:rsidR="007656AC" w:rsidRDefault="007656AC" w:rsidP="007656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 «Оживленная  дорога» (коллективная работа)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с иллюстрациями, ватман, цветная бумага, ножницы, клей.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прогулка на автомойку в сопровождении беседы.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ролевая игра «Путешествие на автомобиле».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к игре (светофор, знаки, аптечка, посуда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Д/и «Разрезные знаки», </w:t>
            </w:r>
          </w:p>
          <w:p w:rsidR="007656AC" w:rsidRDefault="007656AC" w:rsidP="007656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Пишумов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«Азбука города»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Образцы знаков, разрезные знаки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«Как себя нужно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вести в транспорте?»</w:t>
            </w:r>
          </w:p>
          <w:p w:rsidR="007656AC" w:rsidRDefault="007656AC" w:rsidP="007656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Д/и «Верно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еверно»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фотоальбома  «Наш четырехколесный друг».</w:t>
            </w:r>
          </w:p>
          <w:p w:rsidR="007656AC" w:rsidRDefault="007656AC" w:rsidP="007656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рассказа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Носов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«Автомобиль».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Фотографии автомобилей (которые есть семьях детей). Книга с рассказами   Н. Носова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«Подбери знак»</w:t>
            </w:r>
          </w:p>
          <w:p w:rsidR="007656AC" w:rsidRDefault="007656AC" w:rsidP="007656A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Строительная игра  «Автомобиль»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Карточки с изображением дорожных знаков, отличающиеся по форме, цвету.   Конструктор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прогулка на заправочную станцию</w:t>
            </w:r>
          </w:p>
          <w:p w:rsidR="007656AC" w:rsidRDefault="007656AC" w:rsidP="007656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«Учим дорожные знаки»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дорожными знаками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Головко «Правила движения», (авторские сказки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7656AC" w:rsidRPr="000B108B" w:rsidRDefault="007656AC" w:rsidP="007656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Настольно – печатная игра «Дорожное движение»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Моделирование ситуаций </w:t>
            </w:r>
          </w:p>
          <w:p w:rsidR="007656AC" w:rsidRDefault="007656AC" w:rsidP="007656A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фотоколлажа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вопросами, картинки из журналов, газет, ножницы, клей, ½ ватмана.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совместных детско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одительских творческих работ на тему: «Автомобиль моей мечты»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656AC" w:rsidRPr="00195448" w:rsidRDefault="007656AC" w:rsidP="007656AC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«Разрезные знаки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Цветная бумага, природный и бросовый  материал, пластилин. 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рассказа 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Пишумова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«Просто это знак такой…»</w:t>
            </w:r>
          </w:p>
          <w:p w:rsidR="007656AC" w:rsidRDefault="007656AC" w:rsidP="007656A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тему: «Автомобили»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Карандаши, альбомный лист.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Поездка на автобусе в музей, наблюдение за работой водителя автобуса  (беседа).</w:t>
            </w:r>
          </w:p>
          <w:p w:rsidR="007656AC" w:rsidRPr="00E264B3" w:rsidRDefault="007656AC" w:rsidP="007656A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 – ролевая игра «Гараж»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к игре (инструменты, рули, светофор, знаки)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презентации «Осторожно, дорога!»</w:t>
            </w:r>
          </w:p>
          <w:p w:rsidR="007656AC" w:rsidRDefault="007656AC" w:rsidP="00162A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«Дорожное лото»</w:t>
            </w:r>
          </w:p>
          <w:p w:rsidR="007656AC" w:rsidRDefault="007656AC" w:rsidP="007656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Настольно – печатная игра «Дорожное движение»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июля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стенгазеты «Светофор».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Ватман, подбор познавательной информации для детей и родителей.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«Что было бы, если…?»</w:t>
            </w:r>
          </w:p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 с изображением различных дорожных ситуаций.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«Найди нужный знак».</w:t>
            </w:r>
          </w:p>
          <w:p w:rsidR="007656AC" w:rsidRDefault="007656AC" w:rsidP="007656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 « К своим флажкам»</w:t>
            </w:r>
          </w:p>
          <w:p w:rsidR="007656AC" w:rsidRDefault="007656AC" w:rsidP="00162AB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 знаки, флажки  (красный, зеленый, желтый)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«красный, желтый и зеленый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вопросами, фишки, картинки с ситуациями, загадки о транспорте.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 – ролевая игра «Автозаправка»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к игре (рули, шланги, касса, знаки)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 рассказа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Бедарев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«Если бы…»</w:t>
            </w:r>
          </w:p>
          <w:p w:rsidR="007656AC" w:rsidRDefault="007656AC" w:rsidP="007656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тему: «Виды транспорта»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Карандаши, восковые мелка, альбомный лист.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«Угадай, на чем повезешь».</w:t>
            </w:r>
          </w:p>
          <w:p w:rsidR="007656AC" w:rsidRDefault="007656AC" w:rsidP="007656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привозом и разгрузкой продуктов для детского сада (беседа).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Картинки с изображением различных видов транспорта, груза, который можно перевозить.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буклетов для родителей «Ваш ребенок на дороге»</w:t>
            </w:r>
          </w:p>
          <w:p w:rsidR="007656AC" w:rsidRDefault="007656AC" w:rsidP="007656A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«Учим дорожные знаки»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 с информацией для родителей</w:t>
            </w: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вгуста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презентации «Путешествие в прошлое транспорта».</w:t>
            </w:r>
          </w:p>
          <w:p w:rsidR="007656AC" w:rsidRDefault="007656AC" w:rsidP="007656A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«Кто быстрее»»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«Скверная история»</w:t>
            </w:r>
          </w:p>
          <w:p w:rsidR="007656AC" w:rsidRDefault="007656AC" w:rsidP="007656A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«Дорожное лото»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Развлечение «На лесном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перекрестке»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 ситуаций</w:t>
            </w:r>
          </w:p>
          <w:p w:rsidR="007656AC" w:rsidRDefault="007656AC" w:rsidP="007656A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««Нарисуем дорогу»»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6AC" w:rsidRPr="0094309C" w:rsidTr="00162AB5">
        <w:tc>
          <w:tcPr>
            <w:tcW w:w="2410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</w:p>
        </w:tc>
        <w:tc>
          <w:tcPr>
            <w:tcW w:w="4536" w:type="dxa"/>
            <w:shd w:val="clear" w:color="auto" w:fill="auto"/>
          </w:tcPr>
          <w:p w:rsidR="007656AC" w:rsidRDefault="007656AC" w:rsidP="007656A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2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«Светофор»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56AC" w:rsidRDefault="007656AC" w:rsidP="007656A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«Угадай. Какой знак?»</w:t>
            </w:r>
          </w:p>
        </w:tc>
        <w:tc>
          <w:tcPr>
            <w:tcW w:w="2693" w:type="dxa"/>
            <w:shd w:val="clear" w:color="auto" w:fill="auto"/>
          </w:tcPr>
          <w:p w:rsidR="007656AC" w:rsidRDefault="007656AC" w:rsidP="00162A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56AC" w:rsidRPr="0094309C" w:rsidRDefault="007656AC" w:rsidP="007656AC">
      <w:pPr>
        <w:spacing w:after="0"/>
        <w:rPr>
          <w:rFonts w:eastAsia="Times New Roman"/>
          <w:vanish/>
          <w:lang w:eastAsia="ru-RU"/>
        </w:rPr>
      </w:pPr>
    </w:p>
    <w:tbl>
      <w:tblPr>
        <w:tblpPr w:leftFromText="180" w:rightFromText="180" w:vertAnchor="text" w:horzAnchor="margin" w:tblpX="-1299" w:tblpY="-11050"/>
        <w:tblW w:w="11271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"/>
        <w:gridCol w:w="10631"/>
        <w:gridCol w:w="237"/>
      </w:tblGrid>
      <w:tr w:rsidR="007656AC" w:rsidRPr="0094309C" w:rsidTr="00162AB5">
        <w:trPr>
          <w:trHeight w:val="8103"/>
          <w:tblCellSpacing w:w="7" w:type="dxa"/>
        </w:trPr>
        <w:tc>
          <w:tcPr>
            <w:tcW w:w="382" w:type="dxa"/>
            <w:hideMark/>
          </w:tcPr>
          <w:p w:rsidR="007656AC" w:rsidRPr="0094309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7" w:type="dxa"/>
          </w:tcPr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Заключительный результат:</w:t>
            </w:r>
          </w:p>
          <w:p w:rsidR="007656AC" w:rsidRDefault="007656AC" w:rsidP="007656AC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познакомились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правилами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культурой поведения на улице, и транспорте. 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овались такие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личности, как внимание, ответственность за своё поведение, уверенность в своих действиях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656AC" w:rsidRDefault="007656AC" w:rsidP="007656AC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Совместными усилиями педагогов и родителей дети имеют представление о безопасном поведении на улице.  </w:t>
            </w:r>
          </w:p>
          <w:p w:rsidR="007656AC" w:rsidRDefault="007656AC" w:rsidP="007656AC">
            <w:pPr>
              <w:numPr>
                <w:ilvl w:val="0"/>
                <w:numId w:val="35"/>
              </w:num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активной пропаганды безопасности дорожного движения среди родителей  вовлекли их в образовательный процесс по обучению детей ПДД.</w:t>
            </w: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94309C" w:rsidRDefault="007656AC" w:rsidP="00162A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  литературы:</w:t>
            </w:r>
          </w:p>
          <w:p w:rsidR="007656AC" w:rsidRPr="0094309C" w:rsidRDefault="007656AC" w:rsidP="00162A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94309C" w:rsidRDefault="007656AC" w:rsidP="00162A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Т.Г. Кобзева, И.А. Холодова «Правила дорожного движения»</w:t>
            </w:r>
          </w:p>
          <w:p w:rsidR="007656AC" w:rsidRPr="0094309C" w:rsidRDefault="007656AC" w:rsidP="00162A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Энциклопедия «Все обо всем»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Н.А.Извекова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 xml:space="preserve"> /Правила дорожного движения. – М.: Просвещение, 1982.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Н.А.Извекова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>/ Правила дорожного движения для детей дошкольного возраста. - М.: Творческий центр «Сфера», 2006.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Л.Б.Поддубная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>/ Правила дорожного движения. Занимательные материалы. – Волгоград, Издательство – торговый дом «Корифей», 2008.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Т.Ф.Саулина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 xml:space="preserve"> / Три сигнала светофора. Ознакомление дошкольников с правилами дорожного движения. – М.: Издательство Мозаика – Синтез, 2009.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Г.П.Шалаева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 xml:space="preserve">/ Дорожные знаки для маленьких пешеходов. – М.: Издательство </w:t>
            </w:r>
            <w:proofErr w:type="spellStart"/>
            <w:r w:rsidRPr="00E60B9B"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 w:rsidRPr="00E60B9B">
              <w:rPr>
                <w:rFonts w:ascii="Times New Roman" w:hAnsi="Times New Roman"/>
                <w:sz w:val="28"/>
                <w:szCs w:val="28"/>
              </w:rPr>
              <w:t>, 2007.</w:t>
            </w:r>
          </w:p>
          <w:p w:rsidR="007656AC" w:rsidRPr="00E60B9B" w:rsidRDefault="007656AC" w:rsidP="00162A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56AC" w:rsidRPr="00E60B9B" w:rsidRDefault="007656AC" w:rsidP="00162A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323C17" w:rsidRDefault="007656AC" w:rsidP="00162A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F0738B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F0738B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F0738B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05002F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56AC" w:rsidRPr="00F0738B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656A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38B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CF9926" wp14:editId="48332A62">
                  <wp:extent cx="3219450" cy="2408444"/>
                  <wp:effectExtent l="19050" t="19050" r="19050" b="11430"/>
                  <wp:docPr id="3" name="Рисунок 3" descr="DSC00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084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0738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EDDACC" wp14:editId="58EFC536">
                  <wp:extent cx="3216035" cy="2402924"/>
                  <wp:effectExtent l="19050" t="19050" r="22860" b="16510"/>
                  <wp:docPr id="2" name="Рисунок 2" descr="DSC00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456" cy="24032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8B" w:rsidRDefault="00F0738B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0738B" w:rsidRPr="0005002F" w:rsidRDefault="0005002F" w:rsidP="0005002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B7797" wp14:editId="28A7DC6F">
                  <wp:extent cx="3171825" cy="2309248"/>
                  <wp:effectExtent l="19050" t="19050" r="9525" b="15240"/>
                  <wp:docPr id="4" name="Рисунок 4" descr="D:\Документы\фотографии\Садик 2013-2014\DSC00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фотографии\Садик 2013-2014\DSC00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092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6F1C1F" wp14:editId="5B96B8BD">
                  <wp:extent cx="3143250" cy="2358101"/>
                  <wp:effectExtent l="19050" t="19050" r="19050" b="23495"/>
                  <wp:docPr id="8" name="Рисунок 8" descr="D:\Документы\фотографии\Садик 2013-2014\DSC00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фотографии\Садик 2013-2014\DSC00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84" cy="23582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7656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073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F0738B" w:rsidRDefault="00F0738B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F0738B" w:rsidRDefault="00F0738B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656AC" w:rsidRPr="00F0738B" w:rsidRDefault="0005002F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78641A" wp14:editId="6CA51CCC">
                  <wp:extent cx="3181350" cy="2386684"/>
                  <wp:effectExtent l="19050" t="19050" r="19050" b="13970"/>
                  <wp:docPr id="6" name="Рисунок 6" descr="D:\Документы\фотографии\Садик 2013-2014\DSC00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фотографии\Садик 2013-2014\DSC00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636" cy="2391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2300" cy="2373519"/>
                  <wp:effectExtent l="0" t="0" r="0" b="8255"/>
                  <wp:docPr id="7" name="Рисунок 7" descr="D:\Документы\фотографии\Садик 2013-2014\DSC0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фотографии\Садик 2013-2014\DSC00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492" cy="237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656AC" w:rsidRPr="0094309C" w:rsidRDefault="007656AC" w:rsidP="00162AB5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898" w:rsidRDefault="00074898">
      <w:pPr>
        <w:rPr>
          <w:lang w:val="en-US"/>
        </w:rPr>
      </w:pPr>
    </w:p>
    <w:p w:rsidR="0005002F" w:rsidRDefault="0005002F">
      <w:pPr>
        <w:rPr>
          <w:lang w:val="en-US"/>
        </w:rPr>
      </w:pPr>
    </w:p>
    <w:p w:rsidR="0005002F" w:rsidRPr="0005002F" w:rsidRDefault="0005002F">
      <w:pPr>
        <w:rPr>
          <w:lang w:val="en-US"/>
        </w:rPr>
      </w:pPr>
      <w:bookmarkStart w:id="0" w:name="_GoBack"/>
      <w:bookmarkEnd w:id="0"/>
    </w:p>
    <w:sectPr w:rsidR="0005002F" w:rsidRPr="0005002F" w:rsidSect="001E1E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94" w:rsidRDefault="00583A94" w:rsidP="001E1E3D">
      <w:pPr>
        <w:spacing w:after="0" w:line="240" w:lineRule="auto"/>
      </w:pPr>
      <w:r>
        <w:separator/>
      </w:r>
    </w:p>
  </w:endnote>
  <w:endnote w:type="continuationSeparator" w:id="0">
    <w:p w:rsidR="00583A94" w:rsidRDefault="00583A94" w:rsidP="001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3D" w:rsidRDefault="001E1E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3D" w:rsidRDefault="001E1E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3D" w:rsidRDefault="001E1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94" w:rsidRDefault="00583A94" w:rsidP="001E1E3D">
      <w:pPr>
        <w:spacing w:after="0" w:line="240" w:lineRule="auto"/>
      </w:pPr>
      <w:r>
        <w:separator/>
      </w:r>
    </w:p>
  </w:footnote>
  <w:footnote w:type="continuationSeparator" w:id="0">
    <w:p w:rsidR="00583A94" w:rsidRDefault="00583A94" w:rsidP="001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3D" w:rsidRDefault="001E1E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633662"/>
      <w:docPartObj>
        <w:docPartGallery w:val="Watermarks"/>
        <w:docPartUnique/>
      </w:docPartObj>
    </w:sdtPr>
    <w:sdtEndPr/>
    <w:sdtContent>
      <w:p w:rsidR="001E1E3D" w:rsidRDefault="008833FB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3D" w:rsidRDefault="001E1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8C"/>
    <w:multiLevelType w:val="hybridMultilevel"/>
    <w:tmpl w:val="3BC8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2E22"/>
    <w:multiLevelType w:val="hybridMultilevel"/>
    <w:tmpl w:val="7498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009A"/>
    <w:multiLevelType w:val="hybridMultilevel"/>
    <w:tmpl w:val="B3B2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72E"/>
    <w:multiLevelType w:val="hybridMultilevel"/>
    <w:tmpl w:val="4C4C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E100F"/>
    <w:multiLevelType w:val="hybridMultilevel"/>
    <w:tmpl w:val="BCA4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920"/>
    <w:multiLevelType w:val="hybridMultilevel"/>
    <w:tmpl w:val="99D6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87AAD"/>
    <w:multiLevelType w:val="hybridMultilevel"/>
    <w:tmpl w:val="785E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45257"/>
    <w:multiLevelType w:val="hybridMultilevel"/>
    <w:tmpl w:val="CA00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35836"/>
    <w:multiLevelType w:val="hybridMultilevel"/>
    <w:tmpl w:val="6C6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E155F"/>
    <w:multiLevelType w:val="hybridMultilevel"/>
    <w:tmpl w:val="16F0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96FCA"/>
    <w:multiLevelType w:val="hybridMultilevel"/>
    <w:tmpl w:val="E1785C6E"/>
    <w:lvl w:ilvl="0" w:tplc="93D24D1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92C78"/>
    <w:multiLevelType w:val="hybridMultilevel"/>
    <w:tmpl w:val="CCCA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84C25"/>
    <w:multiLevelType w:val="hybridMultilevel"/>
    <w:tmpl w:val="C9EC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B77E0"/>
    <w:multiLevelType w:val="hybridMultilevel"/>
    <w:tmpl w:val="D912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54333"/>
    <w:multiLevelType w:val="hybridMultilevel"/>
    <w:tmpl w:val="A584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853A6"/>
    <w:multiLevelType w:val="hybridMultilevel"/>
    <w:tmpl w:val="30E6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A625E"/>
    <w:multiLevelType w:val="hybridMultilevel"/>
    <w:tmpl w:val="8F26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E0182"/>
    <w:multiLevelType w:val="hybridMultilevel"/>
    <w:tmpl w:val="9852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94809"/>
    <w:multiLevelType w:val="hybridMultilevel"/>
    <w:tmpl w:val="2272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873BC"/>
    <w:multiLevelType w:val="hybridMultilevel"/>
    <w:tmpl w:val="B750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B098A"/>
    <w:multiLevelType w:val="hybridMultilevel"/>
    <w:tmpl w:val="7DB6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A7252"/>
    <w:multiLevelType w:val="hybridMultilevel"/>
    <w:tmpl w:val="B184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736FD"/>
    <w:multiLevelType w:val="hybridMultilevel"/>
    <w:tmpl w:val="DB04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F23FE"/>
    <w:multiLevelType w:val="hybridMultilevel"/>
    <w:tmpl w:val="ED28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25505"/>
    <w:multiLevelType w:val="hybridMultilevel"/>
    <w:tmpl w:val="FEA0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A1C13"/>
    <w:multiLevelType w:val="hybridMultilevel"/>
    <w:tmpl w:val="626A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40546"/>
    <w:multiLevelType w:val="hybridMultilevel"/>
    <w:tmpl w:val="12FA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C74BB"/>
    <w:multiLevelType w:val="hybridMultilevel"/>
    <w:tmpl w:val="C630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366F8"/>
    <w:multiLevelType w:val="hybridMultilevel"/>
    <w:tmpl w:val="A2F4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A6832"/>
    <w:multiLevelType w:val="hybridMultilevel"/>
    <w:tmpl w:val="85C4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B631A"/>
    <w:multiLevelType w:val="hybridMultilevel"/>
    <w:tmpl w:val="1D04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8539F"/>
    <w:multiLevelType w:val="hybridMultilevel"/>
    <w:tmpl w:val="9012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85ECE"/>
    <w:multiLevelType w:val="hybridMultilevel"/>
    <w:tmpl w:val="C8C4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858DC"/>
    <w:multiLevelType w:val="hybridMultilevel"/>
    <w:tmpl w:val="A744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46F54"/>
    <w:multiLevelType w:val="hybridMultilevel"/>
    <w:tmpl w:val="29D4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3"/>
  </w:num>
  <w:num w:numId="4">
    <w:abstractNumId w:val="20"/>
  </w:num>
  <w:num w:numId="5">
    <w:abstractNumId w:val="8"/>
  </w:num>
  <w:num w:numId="6">
    <w:abstractNumId w:val="17"/>
  </w:num>
  <w:num w:numId="7">
    <w:abstractNumId w:val="11"/>
  </w:num>
  <w:num w:numId="8">
    <w:abstractNumId w:val="1"/>
  </w:num>
  <w:num w:numId="9">
    <w:abstractNumId w:val="23"/>
  </w:num>
  <w:num w:numId="10">
    <w:abstractNumId w:val="29"/>
  </w:num>
  <w:num w:numId="11">
    <w:abstractNumId w:val="16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2"/>
  </w:num>
  <w:num w:numId="17">
    <w:abstractNumId w:val="18"/>
  </w:num>
  <w:num w:numId="18">
    <w:abstractNumId w:val="0"/>
  </w:num>
  <w:num w:numId="19">
    <w:abstractNumId w:val="28"/>
  </w:num>
  <w:num w:numId="20">
    <w:abstractNumId w:val="19"/>
  </w:num>
  <w:num w:numId="21">
    <w:abstractNumId w:val="7"/>
  </w:num>
  <w:num w:numId="22">
    <w:abstractNumId w:val="5"/>
  </w:num>
  <w:num w:numId="23">
    <w:abstractNumId w:val="32"/>
  </w:num>
  <w:num w:numId="24">
    <w:abstractNumId w:val="6"/>
  </w:num>
  <w:num w:numId="25">
    <w:abstractNumId w:val="3"/>
  </w:num>
  <w:num w:numId="26">
    <w:abstractNumId w:val="15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7"/>
  </w:num>
  <w:num w:numId="32">
    <w:abstractNumId w:val="24"/>
  </w:num>
  <w:num w:numId="33">
    <w:abstractNumId w:val="13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0"/>
    <w:rsid w:val="0005002F"/>
    <w:rsid w:val="00074898"/>
    <w:rsid w:val="00162951"/>
    <w:rsid w:val="001E1E3D"/>
    <w:rsid w:val="001E7D91"/>
    <w:rsid w:val="001E7EF0"/>
    <w:rsid w:val="002D2CB3"/>
    <w:rsid w:val="00583A94"/>
    <w:rsid w:val="006A422F"/>
    <w:rsid w:val="007656AC"/>
    <w:rsid w:val="008833FB"/>
    <w:rsid w:val="00DE25D4"/>
    <w:rsid w:val="00F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A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E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E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A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E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E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A058-D2A8-460C-9C63-22E41120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2013-09-09T17:21:00Z</dcterms:created>
  <dcterms:modified xsi:type="dcterms:W3CDTF">2014-07-27T17:20:00Z</dcterms:modified>
</cp:coreProperties>
</file>