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B" w:rsidRDefault="00A60B2B" w:rsidP="00467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Данная статья опубликована в научно-методическом журнале «КОРРЕКЦИОННАЯ ПЕДАГОГИКА </w:t>
      </w:r>
    </w:p>
    <w:p w:rsidR="00A60B2B" w:rsidRDefault="00A60B2B" w:rsidP="00467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и практика»</w:t>
      </w:r>
    </w:p>
    <w:p w:rsidR="00A60B2B" w:rsidRPr="008D44B5" w:rsidRDefault="00A60B2B" w:rsidP="00A60B2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0B2B">
        <w:rPr>
          <w:b/>
          <w:sz w:val="28"/>
          <w:szCs w:val="28"/>
        </w:rPr>
        <w:t>Ладович</w:t>
      </w:r>
      <w:proofErr w:type="spellEnd"/>
      <w:r w:rsidRPr="00A60B2B">
        <w:rPr>
          <w:b/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Логопед-дефектолог, магистр ППС детей с ОВЗ, аспирант кафедры специальной педагогики и специальной психологии МГГУ им. М.А. Шолохова </w:t>
      </w:r>
    </w:p>
    <w:p w:rsidR="00A60B2B" w:rsidRDefault="00A60B2B" w:rsidP="004671AF">
      <w:pPr>
        <w:jc w:val="center"/>
        <w:rPr>
          <w:b/>
          <w:sz w:val="28"/>
          <w:szCs w:val="28"/>
        </w:rPr>
      </w:pPr>
    </w:p>
    <w:p w:rsidR="00A60B2B" w:rsidRDefault="00A60B2B" w:rsidP="004671AF">
      <w:pPr>
        <w:jc w:val="center"/>
        <w:rPr>
          <w:b/>
          <w:sz w:val="28"/>
          <w:szCs w:val="28"/>
        </w:rPr>
      </w:pPr>
    </w:p>
    <w:p w:rsidR="004671AF" w:rsidRDefault="004671AF" w:rsidP="004671AF">
      <w:pPr>
        <w:jc w:val="center"/>
        <w:rPr>
          <w:b/>
          <w:sz w:val="28"/>
          <w:szCs w:val="28"/>
        </w:rPr>
      </w:pPr>
      <w:r w:rsidRPr="00E904E2">
        <w:rPr>
          <w:b/>
          <w:sz w:val="28"/>
          <w:szCs w:val="28"/>
        </w:rPr>
        <w:t>Результативность изучения</w:t>
      </w:r>
      <w:r>
        <w:rPr>
          <w:b/>
          <w:sz w:val="28"/>
          <w:szCs w:val="28"/>
        </w:rPr>
        <w:t xml:space="preserve"> речи старших дошкольников с недостатками речевого развития </w:t>
      </w:r>
      <w:r w:rsidRPr="00E904E2">
        <w:rPr>
          <w:b/>
          <w:sz w:val="28"/>
          <w:szCs w:val="28"/>
        </w:rPr>
        <w:t>с помощью разных диагностических средств</w:t>
      </w:r>
    </w:p>
    <w:p w:rsidR="004671AF" w:rsidRDefault="004671AF" w:rsidP="004671AF">
      <w:pPr>
        <w:jc w:val="center"/>
        <w:rPr>
          <w:b/>
          <w:sz w:val="28"/>
          <w:szCs w:val="28"/>
        </w:rPr>
      </w:pP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 w:rsidRPr="00F40796">
        <w:rPr>
          <w:sz w:val="28"/>
          <w:szCs w:val="28"/>
        </w:rPr>
        <w:t xml:space="preserve">В настоящее время проблема диагностики речевых нарушений чрезвычайно актуальна. Это связано с тем, что </w:t>
      </w:r>
      <w:r>
        <w:rPr>
          <w:sz w:val="28"/>
          <w:szCs w:val="28"/>
        </w:rPr>
        <w:t xml:space="preserve">недостаточно специальных исследований в изучениидиагностики </w:t>
      </w:r>
      <w:r w:rsidRPr="004C49E7">
        <w:rPr>
          <w:sz w:val="28"/>
          <w:szCs w:val="28"/>
        </w:rPr>
        <w:t>речи стар</w:t>
      </w:r>
      <w:r>
        <w:rPr>
          <w:sz w:val="28"/>
          <w:szCs w:val="28"/>
        </w:rPr>
        <w:t xml:space="preserve">ших дошкольников с общим недоразвитием речи (ОНР), а </w:t>
      </w:r>
      <w:r w:rsidRPr="00F40796">
        <w:rPr>
          <w:sz w:val="28"/>
          <w:szCs w:val="28"/>
        </w:rPr>
        <w:t xml:space="preserve">количество дошкольников </w:t>
      </w:r>
      <w:r>
        <w:rPr>
          <w:sz w:val="28"/>
          <w:szCs w:val="28"/>
        </w:rPr>
        <w:t xml:space="preserve">с ОНР, </w:t>
      </w:r>
      <w:r w:rsidRPr="00F40796">
        <w:rPr>
          <w:sz w:val="28"/>
          <w:szCs w:val="28"/>
        </w:rPr>
        <w:t>составляют самую многочисленную группу детей с нарушения</w:t>
      </w:r>
      <w:r>
        <w:rPr>
          <w:sz w:val="28"/>
          <w:szCs w:val="28"/>
        </w:rPr>
        <w:t>ми развития.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 w:rsidRPr="00E07A6C">
        <w:rPr>
          <w:sz w:val="28"/>
          <w:szCs w:val="28"/>
        </w:rPr>
        <w:t>Цель</w:t>
      </w:r>
      <w:r>
        <w:rPr>
          <w:sz w:val="28"/>
          <w:szCs w:val="28"/>
        </w:rPr>
        <w:t>ю нашего</w:t>
      </w:r>
      <w:r w:rsidRPr="00E07A6C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было сравнение эффективности использования различных диагностических подходов к изучению речи старших дошкольников с ОНР. 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Исследование проводилось на базе Дошкольного образовательного учреждения – детский сад № 1703 компенсирующего вида </w:t>
      </w:r>
      <w:r>
        <w:rPr>
          <w:sz w:val="28"/>
          <w:szCs w:val="28"/>
        </w:rPr>
        <w:t>Южного округа г. Москвы, где дети получали профессиональную помощь учителей-логопедов и учителей-дефектологов. Выборка была разделена на 2 группы:</w:t>
      </w:r>
    </w:p>
    <w:p w:rsidR="004671AF" w:rsidRDefault="004671AF" w:rsidP="004671A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диагнозом </w:t>
      </w:r>
      <w:r w:rsidRPr="006B2F0D">
        <w:rPr>
          <w:sz w:val="28"/>
          <w:szCs w:val="28"/>
        </w:rPr>
        <w:t xml:space="preserve">общее недоразвитие речи третьего уровня речевого развития (ОНР III </w:t>
      </w:r>
      <w:proofErr w:type="spellStart"/>
      <w:r w:rsidRPr="006B2F0D">
        <w:rPr>
          <w:sz w:val="28"/>
          <w:szCs w:val="28"/>
        </w:rPr>
        <w:t>ур</w:t>
      </w:r>
      <w:proofErr w:type="spellEnd"/>
      <w:r w:rsidRPr="006B2F0D">
        <w:rPr>
          <w:sz w:val="28"/>
          <w:szCs w:val="28"/>
        </w:rPr>
        <w:t>.)</w:t>
      </w:r>
      <w:r>
        <w:rPr>
          <w:sz w:val="28"/>
          <w:szCs w:val="28"/>
        </w:rPr>
        <w:t xml:space="preserve"> (группа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</w:t>
      </w:r>
    </w:p>
    <w:p w:rsidR="004671AF" w:rsidRDefault="004671AF" w:rsidP="004671A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отклонений в речевом развитии (группа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первой группе в</w:t>
      </w:r>
      <w:r w:rsidRPr="00957A78">
        <w:rPr>
          <w:sz w:val="28"/>
          <w:szCs w:val="28"/>
        </w:rPr>
        <w:t xml:space="preserve"> исследовании участвовало 15 детей в возрасте от пяти до семи лет. Дети имели следующее заключение ПМПК: общее недоразвитие речи третьего уровня речевого развития (ОНР III </w:t>
      </w:r>
      <w:proofErr w:type="spellStart"/>
      <w:r w:rsidRPr="00957A78">
        <w:rPr>
          <w:sz w:val="28"/>
          <w:szCs w:val="28"/>
        </w:rPr>
        <w:t>ур</w:t>
      </w:r>
      <w:proofErr w:type="spellEnd"/>
      <w:r w:rsidRPr="00957A78">
        <w:rPr>
          <w:sz w:val="28"/>
          <w:szCs w:val="28"/>
        </w:rPr>
        <w:t>.) Из них 10 мальчиков и 5 девочек. На момент исследования в данной логопедической группе  воспитанники обучались 2-й год.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второй группе в исследовании участвовало 15 детей в возрасте от пяти до семи лет. Дети из этой группы не имели речевых нарушений, они посещали общеразвивающую группу. Из них 8 мальчиков и 7 девочек.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методика требовала индивидуальной процедуры, поэтому на каждого испытуемого отводилось по 2 встречи (по 30 минут в среднем). 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Для экспериментального исследования была использована методика нормативного тестирования – «Оценка развития русского языка (ОРРЯ)». </w:t>
      </w:r>
      <w:r>
        <w:rPr>
          <w:sz w:val="28"/>
          <w:szCs w:val="28"/>
        </w:rPr>
        <w:t xml:space="preserve">Авторами являются </w:t>
      </w:r>
      <w:r w:rsidRPr="00BD67BD">
        <w:rPr>
          <w:sz w:val="28"/>
          <w:szCs w:val="28"/>
        </w:rPr>
        <w:t xml:space="preserve">М. </w:t>
      </w:r>
      <w:proofErr w:type="spellStart"/>
      <w:r w:rsidRPr="00BD67BD">
        <w:rPr>
          <w:sz w:val="28"/>
          <w:szCs w:val="28"/>
        </w:rPr>
        <w:t>Бабенышева</w:t>
      </w:r>
      <w:proofErr w:type="spellEnd"/>
      <w:r w:rsidRPr="00BD67BD">
        <w:rPr>
          <w:sz w:val="28"/>
          <w:szCs w:val="28"/>
        </w:rPr>
        <w:t xml:space="preserve">, Л. </w:t>
      </w:r>
      <w:proofErr w:type="spellStart"/>
      <w:r w:rsidRPr="00BD67BD">
        <w:rPr>
          <w:sz w:val="28"/>
          <w:szCs w:val="28"/>
        </w:rPr>
        <w:t>Харт</w:t>
      </w:r>
      <w:proofErr w:type="spellEnd"/>
      <w:r w:rsidRPr="00BD67BD">
        <w:rPr>
          <w:sz w:val="28"/>
          <w:szCs w:val="28"/>
        </w:rPr>
        <w:t xml:space="preserve">, Дж. Рич, Ю. Кузнецова, Р. </w:t>
      </w:r>
      <w:proofErr w:type="spellStart"/>
      <w:r w:rsidRPr="00BD67BD">
        <w:rPr>
          <w:sz w:val="28"/>
          <w:szCs w:val="28"/>
        </w:rPr>
        <w:t>Риссман</w:t>
      </w:r>
      <w:proofErr w:type="spellEnd"/>
      <w:r w:rsidRPr="00BD67BD">
        <w:rPr>
          <w:sz w:val="28"/>
          <w:szCs w:val="28"/>
        </w:rPr>
        <w:t>, Е. Григоренко, иллюстрации</w:t>
      </w:r>
      <w:r>
        <w:rPr>
          <w:sz w:val="28"/>
          <w:szCs w:val="28"/>
        </w:rPr>
        <w:t xml:space="preserve">: К. Мамон. </w:t>
      </w:r>
      <w:r w:rsidRPr="00BD67BD">
        <w:rPr>
          <w:sz w:val="28"/>
          <w:szCs w:val="28"/>
        </w:rPr>
        <w:t xml:space="preserve">Тест состоит из пяти разделов: </w:t>
      </w:r>
    </w:p>
    <w:p w:rsidR="004671AF" w:rsidRDefault="004671AF" w:rsidP="004671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пассивный словарь, </w:t>
      </w:r>
    </w:p>
    <w:p w:rsidR="004671AF" w:rsidRDefault="004671AF" w:rsidP="004671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лингвистические операторы, </w:t>
      </w:r>
    </w:p>
    <w:p w:rsidR="004671AF" w:rsidRDefault="004671AF" w:rsidP="004671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активный словарь, </w:t>
      </w:r>
    </w:p>
    <w:p w:rsidR="004671AF" w:rsidRDefault="004671AF" w:rsidP="004671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структура предложений, </w:t>
      </w:r>
    </w:p>
    <w:p w:rsidR="004671AF" w:rsidRDefault="004671AF" w:rsidP="004671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67BD">
        <w:rPr>
          <w:sz w:val="28"/>
          <w:szCs w:val="28"/>
        </w:rPr>
        <w:t xml:space="preserve">структура слов. 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 w:rsidRPr="00BD67BD">
        <w:rPr>
          <w:sz w:val="28"/>
          <w:szCs w:val="28"/>
        </w:rPr>
        <w:t>Каждый раздел направлен на изучение определенного компонента речи.</w:t>
      </w:r>
    </w:p>
    <w:p w:rsidR="004671AF" w:rsidRDefault="004671AF" w:rsidP="004671A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Пассивный словарь 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тест включает 31 задание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множественным выбором и направлен на изучение пассивного словаря ребенка.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Пример одного из заданий теста Пассивный словарь: «Покажи, на какой картинке изображен дельфин»</w:t>
      </w:r>
    </w:p>
    <w:p w:rsidR="004671AF" w:rsidRDefault="004671AF" w:rsidP="004671A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Активный словарь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 22 задания, направленные на оценку уровня активного словаря ребенка.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Пример одного из заданий теста Активный словарь: «Что изображено на картинке?»</w:t>
      </w:r>
    </w:p>
    <w:p w:rsidR="004671AF" w:rsidRDefault="004671AF" w:rsidP="004671A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Лингвистические операторы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 28 заданий, оценивающих владение ребенком сложных семантических структур с логическими и временными отношениями.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 одного из заданий теста Лингвистические операторы: «Покажи на маленькую кошку, лису в верхнем ряду и всех медведей»</w:t>
      </w:r>
    </w:p>
    <w:p w:rsidR="004671AF" w:rsidRDefault="004671AF" w:rsidP="004671A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предложений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 xml:space="preserve">ючает 24 задания, с множественным выбором варианта ответа, и направленные на оценку понимания ребенком грамматических и морфологических тонкостей построения связи слов в предложении. 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Пример одного из заданий теста Структура предложений: «Покажи, какая картинка соответствует предложению: Перед тем как открыть тетрадку, мальчик взял карандаш»</w:t>
      </w:r>
    </w:p>
    <w:p w:rsidR="004671AF" w:rsidRDefault="004671AF" w:rsidP="004671A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слов</w:t>
      </w:r>
    </w:p>
    <w:p w:rsid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 xml:space="preserve">ючает 24 задания, в которых ребенок должен закончить предложение опираясь на предложенную картинку и начало фразы. Данный тест оценивает не только пассивное знание грамматических и морфологических особенностей языка, но и активное его использование. </w:t>
      </w:r>
    </w:p>
    <w:p w:rsidR="004671AF" w:rsidRPr="004671AF" w:rsidRDefault="004671AF" w:rsidP="004671AF">
      <w:pPr>
        <w:pStyle w:val="a3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Пример одного из заданий теста Структура слов: «Здесь одна книга, а здесь две … »</w:t>
      </w:r>
    </w:p>
    <w:p w:rsidR="004671AF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Статический анализ данных проводился при помощи программы </w:t>
      </w:r>
      <w:proofErr w:type="spellStart"/>
      <w:r>
        <w:rPr>
          <w:sz w:val="28"/>
          <w:szCs w:val="28"/>
          <w:lang w:val="en-US"/>
        </w:rPr>
        <w:t>MicrosoftExsel</w:t>
      </w:r>
      <w:proofErr w:type="spellEnd"/>
      <w:r w:rsidRPr="00C824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достижения поставленных целей анализ проводился между двумя группами детей, мы выявляли уровень речевого развития каждой группы. Искали значимые различия измеряемых навыков между группами детей: с нарушениями и без них. Таким образом, было выявлено следующее: группы отличаются друг от друга по невербальным, лексическим и </w:t>
      </w:r>
      <w:proofErr w:type="gramStart"/>
      <w:r>
        <w:rPr>
          <w:sz w:val="28"/>
          <w:szCs w:val="28"/>
        </w:rPr>
        <w:t>грамматических</w:t>
      </w:r>
      <w:proofErr w:type="gramEnd"/>
      <w:r>
        <w:rPr>
          <w:sz w:val="28"/>
          <w:szCs w:val="28"/>
        </w:rPr>
        <w:t xml:space="preserve"> оценкам. Полученные данные представлены на диаграмме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4671AF" w:rsidRPr="00C824D8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71AF" w:rsidRPr="00845799" w:rsidRDefault="004671AF" w:rsidP="004671AF">
      <w:pPr>
        <w:pStyle w:val="a3"/>
        <w:spacing w:line="360" w:lineRule="auto"/>
        <w:ind w:left="927"/>
        <w:jc w:val="both"/>
        <w:rPr>
          <w:b/>
          <w:sz w:val="28"/>
          <w:szCs w:val="28"/>
        </w:rPr>
      </w:pPr>
      <w:r w:rsidRPr="00845799">
        <w:rPr>
          <w:b/>
          <w:sz w:val="28"/>
          <w:szCs w:val="28"/>
        </w:rPr>
        <w:t>Диаграмма</w:t>
      </w:r>
      <w:proofErr w:type="gramStart"/>
      <w:r w:rsidRPr="00845799">
        <w:rPr>
          <w:b/>
          <w:sz w:val="28"/>
          <w:szCs w:val="28"/>
        </w:rPr>
        <w:t>1</w:t>
      </w:r>
      <w:proofErr w:type="gramEnd"/>
      <w:r w:rsidRPr="00845799">
        <w:rPr>
          <w:b/>
          <w:sz w:val="28"/>
          <w:szCs w:val="28"/>
        </w:rPr>
        <w:t xml:space="preserve"> Сравнительная характеристика детей с ОНР </w:t>
      </w:r>
      <w:r w:rsidRPr="00845799">
        <w:rPr>
          <w:b/>
          <w:sz w:val="28"/>
          <w:szCs w:val="28"/>
          <w:lang w:val="en-US"/>
        </w:rPr>
        <w:t>III</w:t>
      </w:r>
      <w:r w:rsidRPr="00845799">
        <w:rPr>
          <w:b/>
          <w:sz w:val="28"/>
          <w:szCs w:val="28"/>
        </w:rPr>
        <w:t xml:space="preserve"> уровня речевого развития и  без речевых нарушений </w:t>
      </w:r>
    </w:p>
    <w:p w:rsidR="004671AF" w:rsidRPr="00845799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исследования мы использовали средние баллы каждого раздела. </w:t>
      </w:r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Пассивный словарь показал, что дети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имеют средний балл 23, а дети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имеют средний балл 29. </w:t>
      </w:r>
      <w:proofErr w:type="gramStart"/>
      <w:r>
        <w:rPr>
          <w:sz w:val="28"/>
          <w:szCs w:val="28"/>
        </w:rPr>
        <w:t xml:space="preserve">Данный результаты свидетельствуют о том, что показатели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существенно превышают показатели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End"/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Активный словарь показал, что дети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имеют средний балл 27, а дети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имеют средний балл 38. </w:t>
      </w:r>
      <w:proofErr w:type="gramStart"/>
      <w:r>
        <w:rPr>
          <w:sz w:val="28"/>
          <w:szCs w:val="28"/>
        </w:rPr>
        <w:t xml:space="preserve">Данный результаты свидетельствуют о том, что показатели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сильно превышают показатели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End"/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Лингвистические операторы показал, что дети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имеют средний балл 12, а дети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имеют средний балл 20. </w:t>
      </w:r>
      <w:proofErr w:type="gramStart"/>
      <w:r>
        <w:rPr>
          <w:sz w:val="28"/>
          <w:szCs w:val="28"/>
        </w:rPr>
        <w:t xml:space="preserve">Данный результаты свидетельствуют о том, что показатели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значительно превышают показатели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End"/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Структура предложений показал, что дети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имеют средний балл 18, а дети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имеют средний балл 21. </w:t>
      </w:r>
      <w:proofErr w:type="gramStart"/>
      <w:r>
        <w:rPr>
          <w:sz w:val="28"/>
          <w:szCs w:val="28"/>
        </w:rPr>
        <w:t xml:space="preserve">Данный </w:t>
      </w:r>
      <w:r>
        <w:rPr>
          <w:sz w:val="28"/>
          <w:szCs w:val="28"/>
        </w:rPr>
        <w:lastRenderedPageBreak/>
        <w:t xml:space="preserve">результаты свидетельствуют о том, что показатели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превышают показатели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End"/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Структура слов показал, что дети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имеют средний балл 15, а дети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имеют средний балл 22. </w:t>
      </w:r>
      <w:proofErr w:type="gramStart"/>
      <w:r>
        <w:rPr>
          <w:sz w:val="28"/>
          <w:szCs w:val="28"/>
        </w:rPr>
        <w:t xml:space="preserve">Данный результаты свидетельствуют о том, что показатели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существенно превышают показатели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proofErr w:type="gramEnd"/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Сравнивая детей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 диаграмме наглядно видно, что речевое развитие детей группы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значительно превышает уровень речевого развития детей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Особенно хорошо это видно в разделе активный словарь, лингвистические операторы и структура слов, к менее отличающимся друг от друга разделам относятся пассивный словарь и структура предложений.</w:t>
      </w:r>
    </w:p>
    <w:p w:rsidR="004671AF" w:rsidRDefault="004671AF" w:rsidP="004671A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увеличения уровня речевого развития детей группы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необходимо проводить комплекс коррекционно-логопедических занятий. Специалистам </w:t>
      </w:r>
      <w:proofErr w:type="gramStart"/>
      <w:r>
        <w:rPr>
          <w:sz w:val="28"/>
          <w:szCs w:val="28"/>
        </w:rPr>
        <w:t>уделять большее внимание на развитие</w:t>
      </w:r>
      <w:proofErr w:type="gramEnd"/>
      <w:r>
        <w:rPr>
          <w:sz w:val="28"/>
          <w:szCs w:val="28"/>
        </w:rPr>
        <w:t xml:space="preserve"> речи детей, а именно всех выше изученных компонентов речи. Важную роль играет взаимодействие между воспитателями и специалистами. Родителям воспитанников необходимо прислушиваться к рекомендациям специалистов. </w:t>
      </w:r>
    </w:p>
    <w:p w:rsidR="004671AF" w:rsidRPr="00FD76B2" w:rsidRDefault="004671AF" w:rsidP="00FD76B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данную методику в диагностическом исследовании речевых компонентов </w:t>
      </w:r>
      <w:proofErr w:type="gramStart"/>
      <w:r>
        <w:rPr>
          <w:sz w:val="28"/>
          <w:szCs w:val="28"/>
        </w:rPr>
        <w:t>дошкольников</w:t>
      </w:r>
      <w:proofErr w:type="gramEnd"/>
      <w:r>
        <w:rPr>
          <w:sz w:val="28"/>
          <w:szCs w:val="28"/>
        </w:rPr>
        <w:t xml:space="preserve"> мы проанализировали  пассивный словарь, активный словарь, лингвистические операторы, структуру предложений, структуру слов. Однако не все компоненты речевого развития детей дошкольного возраста были охвачены, в связи с узкой направленностью данной методики. Такие важные компоненты как: состояние связной речи, состояние звукопроизношения, </w:t>
      </w:r>
      <w:r w:rsidRPr="00DA5C07">
        <w:rPr>
          <w:bCs/>
          <w:spacing w:val="-9"/>
          <w:sz w:val="28"/>
          <w:szCs w:val="28"/>
        </w:rPr>
        <w:t>состояние фонематического восприятия, навыков фоне</w:t>
      </w:r>
      <w:r w:rsidRPr="00DA5C07">
        <w:rPr>
          <w:bCs/>
          <w:spacing w:val="-9"/>
          <w:sz w:val="28"/>
          <w:szCs w:val="28"/>
        </w:rPr>
        <w:softHyphen/>
      </w:r>
      <w:r w:rsidRPr="00DA5C07">
        <w:rPr>
          <w:bCs/>
          <w:sz w:val="28"/>
          <w:szCs w:val="28"/>
        </w:rPr>
        <w:t>матического анализа и синтеза</w:t>
      </w:r>
      <w:r>
        <w:rPr>
          <w:sz w:val="28"/>
          <w:szCs w:val="28"/>
        </w:rPr>
        <w:t xml:space="preserve">оказались не исследованы, </w:t>
      </w:r>
      <w:r>
        <w:rPr>
          <w:bCs/>
          <w:sz w:val="28"/>
          <w:szCs w:val="28"/>
        </w:rPr>
        <w:t xml:space="preserve">а также не полноценно изучен грамматический строй речи, </w:t>
      </w:r>
      <w:r>
        <w:rPr>
          <w:sz w:val="28"/>
          <w:szCs w:val="28"/>
        </w:rPr>
        <w:t xml:space="preserve">что указывает на необходимость усовершенствования данной методики и невозможность на данный момент проводить полноценные исследования развития речи у детей дошкольного возраста. </w:t>
      </w:r>
      <w:bookmarkStart w:id="0" w:name="_GoBack"/>
      <w:bookmarkEnd w:id="0"/>
    </w:p>
    <w:p w:rsidR="004671AF" w:rsidRPr="008E0084" w:rsidRDefault="004671AF" w:rsidP="004671AF">
      <w:pPr>
        <w:spacing w:line="360" w:lineRule="auto"/>
        <w:ind w:firstLine="567"/>
        <w:jc w:val="both"/>
        <w:rPr>
          <w:sz w:val="28"/>
          <w:szCs w:val="28"/>
        </w:rPr>
      </w:pPr>
    </w:p>
    <w:p w:rsidR="00C11221" w:rsidRDefault="00C11221"/>
    <w:sectPr w:rsidR="00C11221" w:rsidSect="00B9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CB1"/>
    <w:multiLevelType w:val="hybridMultilevel"/>
    <w:tmpl w:val="892031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A17F62"/>
    <w:multiLevelType w:val="hybridMultilevel"/>
    <w:tmpl w:val="CD12E270"/>
    <w:lvl w:ilvl="0" w:tplc="C5A4C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CE051E"/>
    <w:multiLevelType w:val="hybridMultilevel"/>
    <w:tmpl w:val="8A76417E"/>
    <w:lvl w:ilvl="0" w:tplc="7D9C5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D8"/>
    <w:rsid w:val="000259D8"/>
    <w:rsid w:val="00043A65"/>
    <w:rsid w:val="004671AF"/>
    <w:rsid w:val="00A60B2B"/>
    <w:rsid w:val="00C11221"/>
    <w:rsid w:val="00FD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с ОНР III уровня речевого развития (группа I)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Пассивный словарь</c:v>
                </c:pt>
                <c:pt idx="1">
                  <c:v>Активный словарь</c:v>
                </c:pt>
                <c:pt idx="2">
                  <c:v>Лингвистические операторы</c:v>
                </c:pt>
                <c:pt idx="3">
                  <c:v>Структура предложений</c:v>
                </c:pt>
                <c:pt idx="4">
                  <c:v>Структура слов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27</c:v>
                </c:pt>
                <c:pt idx="2">
                  <c:v>12</c:v>
                </c:pt>
                <c:pt idx="3">
                  <c:v>18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без речевых нарушений (группа II)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Пассивный словарь</c:v>
                </c:pt>
                <c:pt idx="1">
                  <c:v>Активный словарь</c:v>
                </c:pt>
                <c:pt idx="2">
                  <c:v>Лингвистические операторы</c:v>
                </c:pt>
                <c:pt idx="3">
                  <c:v>Структура предложений</c:v>
                </c:pt>
                <c:pt idx="4">
                  <c:v>Структура слов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38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</c:ser>
        <c:dLbls/>
        <c:shape val="cylinder"/>
        <c:axId val="75937280"/>
        <c:axId val="75938816"/>
        <c:axId val="0"/>
      </c:bar3DChart>
      <c:catAx>
        <c:axId val="75937280"/>
        <c:scaling>
          <c:orientation val="minMax"/>
        </c:scaling>
        <c:axPos val="b"/>
        <c:tickLblPos val="nextTo"/>
        <c:crossAx val="75938816"/>
        <c:crosses val="autoZero"/>
        <c:auto val="1"/>
        <c:lblAlgn val="ctr"/>
        <c:lblOffset val="100"/>
      </c:catAx>
      <c:valAx>
        <c:axId val="75938816"/>
        <c:scaling>
          <c:orientation val="minMax"/>
        </c:scaling>
        <c:axPos val="l"/>
        <c:majorGridlines/>
        <c:numFmt formatCode="General" sourceLinked="1"/>
        <c:tickLblPos val="nextTo"/>
        <c:crossAx val="75937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3</cp:revision>
  <dcterms:created xsi:type="dcterms:W3CDTF">2014-01-23T12:23:00Z</dcterms:created>
  <dcterms:modified xsi:type="dcterms:W3CDTF">2015-05-05T08:12:00Z</dcterms:modified>
</cp:coreProperties>
</file>