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1D" w:rsidRDefault="0060391D" w:rsidP="0060391D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Математика </w:t>
      </w:r>
    </w:p>
    <w:p w:rsidR="0060391D" w:rsidRDefault="0060391D" w:rsidP="006039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класс</w:t>
      </w:r>
    </w:p>
    <w:p w:rsidR="0060391D" w:rsidRDefault="0060391D" w:rsidP="0060391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Пояснительная  записка.</w:t>
      </w:r>
    </w:p>
    <w:p w:rsidR="0060391D" w:rsidRDefault="0060391D" w:rsidP="0060391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Основными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целями</w:t>
      </w:r>
      <w:r>
        <w:rPr>
          <w:rFonts w:ascii="Times New Roman" w:eastAsia="Times New Roman" w:hAnsi="Times New Roman"/>
          <w:sz w:val="28"/>
          <w:szCs w:val="28"/>
        </w:rPr>
        <w:t xml:space="preserve"> начального обучения математики являются: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математическое развитие младших школьников;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формирование системы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начальных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математических знаний;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воспитание интереса к математике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к умственной деятельности.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определяет ряд </w:t>
      </w:r>
      <w:r>
        <w:rPr>
          <w:rFonts w:ascii="Times New Roman" w:eastAsia="Times New Roman" w:hAnsi="Times New Roman"/>
          <w:b/>
          <w:sz w:val="28"/>
          <w:szCs w:val="28"/>
        </w:rPr>
        <w:t>задач</w:t>
      </w:r>
      <w:r>
        <w:rPr>
          <w:rFonts w:ascii="Times New Roman" w:eastAsia="Times New Roman" w:hAnsi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устанавливать,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описывать,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моделировать </w:t>
      </w:r>
      <w:r>
        <w:rPr>
          <w:rFonts w:ascii="Times New Roman" w:eastAsia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развитие пространственного воображения;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развитие математической речи;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формирование умения вести поиск информации и работать с ней;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60391D" w:rsidRDefault="0060391D" w:rsidP="0060391D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развитие познавательных способностей;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воспитание стремления к расширению математических знаний;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критичности мышления;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усвоение начальных математических знаний, </w:t>
      </w:r>
      <w:r>
        <w:rPr>
          <w:rFonts w:ascii="Times New Roman" w:eastAsia="Times New Roman" w:hAnsi="Times New Roman"/>
          <w:sz w:val="28"/>
          <w:szCs w:val="28"/>
        </w:rPr>
        <w:t xml:space="preserve">связей математики с окружающей действительностью и с </w:t>
      </w:r>
      <w:r>
        <w:rPr>
          <w:rFonts w:ascii="Times New Roman" w:eastAsia="Times New Roman" w:hAnsi="Times New Roman"/>
          <w:sz w:val="28"/>
          <w:szCs w:val="28"/>
        </w:rPr>
        <w:lastRenderedPageBreak/>
        <w:t>другими школьными предметами, а также личностную заинтересованность в расширении математических знаний.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 по математике для 1 класса общеобразовательной (коррекционной) школы </w:t>
      </w:r>
      <w:r>
        <w:rPr>
          <w:rFonts w:ascii="Times New Roman" w:eastAsia="Times New Roman" w:hAnsi="Times New Roman"/>
          <w:b/>
          <w:sz w:val="28"/>
          <w:szCs w:val="28"/>
        </w:rPr>
        <w:t>разработана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Федерального компонента государственного стандарта начального образования,  на основе Примерной программы специальных (коррекционных) образовательных учреждений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вида авторами (М.Б.  Хабибулина),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М.: «Просвещение»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/>
            <w:sz w:val="28"/>
            <w:szCs w:val="28"/>
          </w:rPr>
          <w:t>2013 г</w:t>
        </w:r>
      </w:smartTag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0391D" w:rsidRDefault="0060391D" w:rsidP="0060391D">
      <w:pPr>
        <w:spacing w:before="280" w:after="28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характеристика учебного курса.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Основа арифметического содержания — представления о натуральном числе и нуле,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арифметических действиях (сложение, вычитание, умножение и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деление).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освоят различные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приёмы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проверки выполненных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вычислений.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Программа предусматривает ознакомление с величинами (длин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, площадь, масс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Решение текстовых задач связано с формированием целого ряда умений: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осознанно читать и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>
        <w:rPr>
          <w:rFonts w:ascii="Times New Roman" w:eastAsia="Times New Roman" w:hAnsi="Times New Roman"/>
          <w:sz w:val="28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60391D" w:rsidRDefault="0060391D" w:rsidP="0060391D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нужной информации, дополнять ею решаемую задачу, делать прикидку и оценивать реальность предполагаемого результата.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Развитие а</w:t>
      </w:r>
      <w:r>
        <w:rPr>
          <w:rFonts w:ascii="Times New Roman" w:eastAsia="Times New Roman" w:hAnsi="Times New Roman"/>
          <w:sz w:val="28"/>
          <w:szCs w:val="28"/>
        </w:rPr>
        <w:t>лгоритмическо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мышлени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послужит базой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 успешного овладения компьютерной грамотностью.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Математические знания и представления о числах, величинах,</w:t>
      </w:r>
      <w:r>
        <w:rPr>
          <w:rFonts w:ascii="Times New Roman" w:eastAsia="Times New Roman" w:hAnsi="Times New Roman"/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60391D" w:rsidRDefault="0060391D" w:rsidP="0060391D">
      <w:pPr>
        <w:spacing w:after="0" w:line="36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Личностные результаты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 Целостное восприятие окружающего мира.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— Навыки сотрудничества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взрослыми и сверстниками.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— Установку на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здоровый образ жизни,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60391D" w:rsidRDefault="0060391D" w:rsidP="0060391D">
      <w:pPr>
        <w:spacing w:after="0" w:line="36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Метапредметные результаты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Способность принимать и сохранять цели и задачи учебной деятельности, находить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средства и способы её осуществления.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— Овладение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способ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— Использование различных способов поиска (в справочных источниках и открытом учебном информационном пространстве Интернета), сбора, обработки,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графическим сопровождением.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rFonts w:ascii="Times New Roman" w:eastAsia="Times New Roman" w:hAnsi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0391D" w:rsidRDefault="0060391D" w:rsidP="0060391D">
      <w:pPr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rFonts w:ascii="Times New Roman" w:eastAsia="Times New Roman" w:hAnsi="Times New Roman"/>
          <w:sz w:val="28"/>
          <w:szCs w:val="28"/>
        </w:rPr>
        <w:br/>
        <w:t>оценки их количественных и пространственных отношений.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Овладение основами логического и алгоритмического мышления,</w:t>
      </w:r>
      <w:r>
        <w:rPr>
          <w:rFonts w:ascii="Times New Roman" w:eastAsia="Times New Roman" w:hAnsi="Times New Roman"/>
          <w:sz w:val="28"/>
          <w:szCs w:val="28"/>
        </w:rPr>
        <w:br/>
        <w:t>пространственного воображения и математической речи, основами счёта,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измерения, прикидки результата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" w:eastAsia="Times New Roman" w:hAnsi="Times New Roman"/>
          <w:color w:val="548DD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записи и выполнения алгоритмов.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60391D" w:rsidRDefault="0060391D" w:rsidP="0060391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0391D" w:rsidRDefault="0060391D" w:rsidP="0060391D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Данная программа рассчитана </w:t>
      </w:r>
      <w:r>
        <w:rPr>
          <w:rFonts w:ascii="Times New Roman" w:eastAsia="Times New Roman" w:hAnsi="Times New Roman"/>
          <w:sz w:val="28"/>
          <w:szCs w:val="28"/>
        </w:rPr>
        <w:t>на 132  учебных часа  (33 учебные недели) 4 часа в неделю, в том числе на проведение контрольных работ - 3 часа.</w:t>
      </w:r>
    </w:p>
    <w:p w:rsidR="0060391D" w:rsidRDefault="0060391D" w:rsidP="0060391D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Формы организации учебного процесса:</w:t>
      </w:r>
      <w:r>
        <w:rPr>
          <w:rFonts w:ascii="Times New Roman" w:eastAsia="Times New Roman" w:hAnsi="Times New Roman"/>
          <w:sz w:val="28"/>
          <w:szCs w:val="28"/>
        </w:rPr>
        <w:t xml:space="preserve"> комбинированный урок.</w:t>
      </w:r>
    </w:p>
    <w:p w:rsidR="0060391D" w:rsidRDefault="0060391D" w:rsidP="0060391D">
      <w:pPr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Т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ехнологии обучения: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деятельностный  подход, игровые и информационно-коммуникационные технологии обучения.</w:t>
      </w:r>
    </w:p>
    <w:p w:rsidR="0060391D" w:rsidRDefault="0060391D" w:rsidP="0060391D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Виды и формы контроля: </w:t>
      </w:r>
      <w:r>
        <w:rPr>
          <w:rFonts w:ascii="Times New Roman" w:eastAsia="Times New Roman" w:hAnsi="Times New Roman"/>
          <w:sz w:val="28"/>
          <w:szCs w:val="28"/>
        </w:rPr>
        <w:t>текущий,  фронтальный опрос, итоговый (контрольная  работа, тестирование).</w:t>
      </w:r>
    </w:p>
    <w:p w:rsidR="0060391D" w:rsidRDefault="0060391D" w:rsidP="0060391D">
      <w:pPr>
        <w:spacing w:before="280" w:after="28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Используется учебно-методический комплект: </w:t>
      </w:r>
    </w:p>
    <w:p w:rsidR="0060391D" w:rsidRDefault="0060391D" w:rsidP="0060391D">
      <w:pPr>
        <w:numPr>
          <w:ilvl w:val="0"/>
          <w:numId w:val="2"/>
        </w:numPr>
        <w:spacing w:before="280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М.И. Моро, С.И. Волкова, С.В. Степанова учебник для 1 класса в 2-х частях.</w:t>
      </w:r>
      <w:r w:rsidRPr="0080215A"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8.15pt;width:549.85pt;height:78.35pt;z-index:251660288;mso-wrap-distance-left:0;mso-wrap-distance-right:2.25pt;mso-position-horizontal-relative:text;mso-position-vertical-relative:text" stroked="f">
            <v:fill opacity="0" color2="black"/>
            <v:textbox inset="0,0,0,0">
              <w:txbxContent>
                <w:p w:rsidR="0060391D" w:rsidRDefault="0060391D" w:rsidP="0060391D">
                  <w:pPr>
                    <w:numPr>
                      <w:ilvl w:val="0"/>
                      <w:numId w:val="3"/>
                    </w:numPr>
                    <w:spacing w:after="28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Моро М.И. Тетрадь по математике для 1 класса: в 2 частях / М.И. Моро, С.И. Волкова. – М.: Просвещение, 2011</w:t>
                  </w:r>
                </w:p>
                <w:p w:rsidR="0060391D" w:rsidRDefault="0060391D" w:rsidP="0060391D">
                  <w:pPr>
                    <w:spacing w:before="280" w:after="280" w:line="360" w:lineRule="auto"/>
                    <w:ind w:left="7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 side="largest"/>
          </v:shape>
        </w:pic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391D" w:rsidRDefault="0060391D" w:rsidP="0060391D">
      <w:pPr>
        <w:spacing w:before="280"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391D" w:rsidRDefault="0060391D" w:rsidP="006039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рабочей программы.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60391D" w:rsidRDefault="0060391D" w:rsidP="0060391D">
      <w:pPr>
        <w:widowControl w:val="0"/>
        <w:autoSpaceDE w:val="0"/>
        <w:spacing w:after="0" w:line="360" w:lineRule="auto"/>
        <w:ind w:right="-1"/>
        <w:rPr>
          <w:rFonts w:ascii="Times New Roman" w:eastAsia="Times New Roman" w:hAnsi="Times New Roman"/>
          <w:b/>
          <w:i/>
          <w:w w:val="105"/>
          <w:sz w:val="28"/>
          <w:szCs w:val="28"/>
        </w:rPr>
      </w:pPr>
      <w:r>
        <w:rPr>
          <w:rFonts w:ascii="Times New Roman" w:eastAsia="Times New Roman" w:hAnsi="Times New Roman"/>
          <w:i/>
          <w:w w:val="105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w w:val="105"/>
          <w:sz w:val="28"/>
          <w:szCs w:val="28"/>
        </w:rPr>
        <w:t xml:space="preserve">Сравнение предметов и групп предметов. Пространственные и временные представления. 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w w:val="105"/>
          <w:sz w:val="28"/>
          <w:szCs w:val="28"/>
        </w:rPr>
        <w:t>Сравнение предметов по размеру (больше – меньше, выше – ниже, длиннее – короче) и формы (круглый, квадратный, треугольный и др.)</w:t>
      </w:r>
      <w:proofErr w:type="gramEnd"/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w w:val="105"/>
          <w:sz w:val="28"/>
          <w:szCs w:val="28"/>
        </w:rPr>
        <w:t>Пространственные представления, взаимное расположение предметов: вверху, внизу (выше, ниже), слева, справа, перед, за, межу, рядом.</w:t>
      </w:r>
      <w:proofErr w:type="gramEnd"/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Направление движения: слева направо, справа налево, сверху вниз, снизу вверх.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Временные представления: раньше, сначала, потом, до, после, раньше, позже.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 xml:space="preserve">Сравнение групп предметов: больше, меньше, столько же, больше (меньше) </w:t>
      </w:r>
      <w:proofErr w:type="gramStart"/>
      <w:r>
        <w:rPr>
          <w:rFonts w:ascii="Times New Roman" w:eastAsia="Times New Roman" w:hAnsi="Times New Roman"/>
          <w:w w:val="105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w w:val="105"/>
          <w:sz w:val="28"/>
          <w:szCs w:val="28"/>
        </w:rPr>
        <w:t>…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rPr>
          <w:rFonts w:ascii="Times New Roman" w:eastAsia="Times New Roman" w:hAnsi="Times New Roman"/>
          <w:b/>
          <w:i/>
          <w:w w:val="105"/>
          <w:sz w:val="28"/>
          <w:szCs w:val="28"/>
        </w:rPr>
      </w:pPr>
      <w:r>
        <w:rPr>
          <w:rFonts w:ascii="Times New Roman" w:eastAsia="Times New Roman" w:hAnsi="Times New Roman"/>
          <w:b/>
          <w:i/>
          <w:w w:val="105"/>
          <w:sz w:val="28"/>
          <w:szCs w:val="28"/>
        </w:rPr>
        <w:tab/>
        <w:t xml:space="preserve">Числа от 1 до 10 и число 0. Нумерация 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Название,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Число 0. Его получение и обозначение.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Сравнение чисел.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Равенство, неравенство. Знаки «больше», «меньше»</w:t>
      </w:r>
      <w:proofErr w:type="gramStart"/>
      <w:r>
        <w:rPr>
          <w:rFonts w:ascii="Times New Roman" w:eastAsia="Times New Roman" w:hAnsi="Times New Roman"/>
          <w:w w:val="105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w w:val="105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/>
          <w:w w:val="105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w w:val="105"/>
          <w:sz w:val="28"/>
          <w:szCs w:val="28"/>
        </w:rPr>
        <w:t>авно»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Состав чисел 2, 3, 4,5. Монеты в 1р., 2р., 5р., 1к., 5к., 10к.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Точка. Линия: кривая, прямая. Отрезок. Ломаная. Многоугольник. Углы, вершины, стороны многоугольника.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Длина отрезка. Сантиметр.  Решение задач в одно действие на сложение и вычитание (на основе счета предметов).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rPr>
          <w:rFonts w:ascii="Times New Roman" w:eastAsia="Times New Roman" w:hAnsi="Times New Roman"/>
          <w:b/>
          <w:i/>
          <w:w w:val="105"/>
          <w:sz w:val="28"/>
          <w:szCs w:val="28"/>
        </w:rPr>
      </w:pPr>
      <w:r>
        <w:rPr>
          <w:rFonts w:ascii="Times New Roman" w:eastAsia="Times New Roman" w:hAnsi="Times New Roman"/>
          <w:b/>
          <w:i/>
          <w:w w:val="105"/>
          <w:sz w:val="28"/>
          <w:szCs w:val="28"/>
        </w:rPr>
        <w:tab/>
        <w:t xml:space="preserve">Числа от 1 до 10. Сложение и вычитание. 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lastRenderedPageBreak/>
        <w:t>Конкретный смысл и название действий сложения и вычитания. Знаки +, -, =.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Название компонентов и результатов сложений и вычитания. Нахождение значений числовых выражений в 1-2 действия без скобок.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Переместительное свойство сложения.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 xml:space="preserve">Приемы вычислений: 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 xml:space="preserve">а) при сложении – прибавление числа по частям, перестановка чисел; 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>б) при вычитании – вычитание числа по частям и вычитание на основе знания соответствующего случая сложения.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Таблица сложения в пределах 10. Соответствующие случаи вычитания.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Сложение и вычитание с числом 0.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Нахождение числа, которое на несколько единиц больше или меньше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 xml:space="preserve">         данного.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Решение задач в одно действие на сложение и вычитание.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rPr>
          <w:rFonts w:ascii="Times New Roman" w:eastAsia="Times New Roman" w:hAnsi="Times New Roman"/>
          <w:b/>
          <w:i/>
          <w:w w:val="105"/>
          <w:sz w:val="28"/>
          <w:szCs w:val="28"/>
        </w:rPr>
      </w:pPr>
      <w:r>
        <w:rPr>
          <w:rFonts w:ascii="Times New Roman" w:eastAsia="Times New Roman" w:hAnsi="Times New Roman"/>
          <w:b/>
          <w:i/>
          <w:w w:val="105"/>
          <w:sz w:val="28"/>
          <w:szCs w:val="28"/>
        </w:rPr>
        <w:tab/>
        <w:t xml:space="preserve">Числа от 11 до 20. Нумерация 11 – 20. 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Название и последовательность чисел от 11 до 20. Десятичный состав чисел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 xml:space="preserve">         от 11 до 20. Чтение и запись чисел от 11 до 20. Сравнение чисел.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Сложение и вычитание вида 10+7, 17 – 7, 17 – 10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Сравнение чисел с помощью вычитания.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Единица времени час. Определение времени по часам с точностью до часа.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Единицы длины: сантиметр, дециметр. Соотношение между ними.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Единица массы: килограмм.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Единица емкости: литр.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Сложение и вычитание с переходом через десяток. 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Сложение двух однозначных чисел, сумма которых больше чем 10, с использованием изученных приемов вычислений.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Таблица сложение и соответствующие случаи вычитания.</w:t>
      </w:r>
    </w:p>
    <w:p w:rsidR="0060391D" w:rsidRDefault="0060391D" w:rsidP="0060391D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w w:val="105"/>
          <w:sz w:val="28"/>
          <w:szCs w:val="28"/>
        </w:rPr>
        <w:tab/>
        <w:t>Решение задач в 1-2 действия на сложении и вычитание.</w:t>
      </w:r>
    </w:p>
    <w:p w:rsidR="0060391D" w:rsidRDefault="0060391D" w:rsidP="0060391D">
      <w:pPr>
        <w:spacing w:after="0" w:line="36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Основные требования к знаниям, умениям и навыкам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к концу 1 класса.</w:t>
      </w:r>
    </w:p>
    <w:p w:rsidR="0060391D" w:rsidRDefault="0060391D" w:rsidP="0060391D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Обучающиеся должны знать:</w:t>
      </w:r>
    </w:p>
    <w:p w:rsidR="0060391D" w:rsidRDefault="0060391D" w:rsidP="0060391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название и последовательность чисел от 0 до 20; название и обозначение действий сложения и вычитания;</w:t>
      </w:r>
    </w:p>
    <w:p w:rsidR="0060391D" w:rsidRDefault="0060391D" w:rsidP="0060391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таблицу сложения чисел в пределах 10 и соответствующие случаи вычитания учащиеся должны усвоить на уровне автоматизированного навыка.</w:t>
      </w:r>
    </w:p>
    <w:p w:rsidR="0060391D" w:rsidRDefault="0060391D" w:rsidP="0060391D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Обучающиеся должны уметь:</w:t>
      </w:r>
    </w:p>
    <w:p w:rsidR="0060391D" w:rsidRDefault="0060391D" w:rsidP="0060391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считать предметы в пределах 20; читать, записывать и сравнивать числа в пределах 20;</w:t>
      </w:r>
    </w:p>
    <w:p w:rsidR="0060391D" w:rsidRDefault="0060391D" w:rsidP="0060391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находить значение числового выражения в 1 – 2 действия в пределах 10 (без скобок);</w:t>
      </w:r>
    </w:p>
    <w:p w:rsidR="0060391D" w:rsidRDefault="0060391D" w:rsidP="0060391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  <w:sectPr w:rsidR="0060391D">
          <w:footerReference w:type="even" r:id="rId5"/>
          <w:footerReference w:type="default" r:id="rId6"/>
          <w:footerReference w:type="first" r:id="rId7"/>
          <w:footnotePr>
            <w:pos w:val="beneathText"/>
          </w:footnotePr>
          <w:pgSz w:w="11905" w:h="16837"/>
          <w:pgMar w:top="720" w:right="720" w:bottom="764" w:left="720" w:header="720" w:footer="708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60391D" w:rsidRDefault="0060391D" w:rsidP="006039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Учебно-тематический план.</w:t>
      </w:r>
    </w:p>
    <w:p w:rsidR="0060391D" w:rsidRDefault="0060391D" w:rsidP="0060391D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479"/>
        <w:gridCol w:w="2278"/>
      </w:tblGrid>
      <w:tr w:rsidR="0060391D" w:rsidTr="00317CB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1D" w:rsidRDefault="0060391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1D" w:rsidRDefault="0060391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0391D" w:rsidTr="00317CB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1D" w:rsidRDefault="0060391D" w:rsidP="00317CB0">
            <w:pPr>
              <w:widowControl w:val="0"/>
              <w:autoSpaceDE w:val="0"/>
              <w:snapToGrid w:val="0"/>
              <w:spacing w:after="0" w:line="360" w:lineRule="auto"/>
              <w:ind w:right="-414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</w:p>
          <w:p w:rsidR="0060391D" w:rsidRDefault="0060391D" w:rsidP="0060391D">
            <w:pPr>
              <w:widowControl w:val="0"/>
              <w:numPr>
                <w:ilvl w:val="0"/>
                <w:numId w:val="1"/>
              </w:numPr>
              <w:autoSpaceDE w:val="0"/>
              <w:spacing w:after="0" w:line="360" w:lineRule="auto"/>
              <w:ind w:right="-1"/>
              <w:rPr>
                <w:rFonts w:ascii="Times New Roman" w:eastAsia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5"/>
                <w:sz w:val="28"/>
                <w:szCs w:val="28"/>
              </w:rPr>
              <w:t>Сравнение предметов и групп предметов. Пространственные и временные представления.</w:t>
            </w:r>
          </w:p>
          <w:p w:rsidR="0060391D" w:rsidRDefault="0060391D" w:rsidP="00317CB0">
            <w:pPr>
              <w:widowControl w:val="0"/>
              <w:autoSpaceDE w:val="0"/>
              <w:spacing w:after="0" w:line="360" w:lineRule="auto"/>
              <w:ind w:left="720" w:right="-1"/>
              <w:rPr>
                <w:rFonts w:ascii="Times New Roman" w:eastAsia="Times New Roman" w:hAnsi="Times New Roman"/>
                <w:w w:val="105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91D" w:rsidRDefault="0060391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391D" w:rsidRDefault="0060391D" w:rsidP="00317CB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60391D" w:rsidTr="00317CB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1D" w:rsidRDefault="0060391D" w:rsidP="0060391D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360" w:lineRule="auto"/>
              <w:ind w:right="-1"/>
              <w:rPr>
                <w:rFonts w:ascii="Times New Roman" w:eastAsia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5"/>
                <w:sz w:val="28"/>
                <w:szCs w:val="28"/>
              </w:rPr>
              <w:t xml:space="preserve">Числа от 1 до 10 и число 0. Нумерация. </w:t>
            </w:r>
          </w:p>
          <w:p w:rsidR="0060391D" w:rsidRDefault="0060391D" w:rsidP="00317CB0">
            <w:pPr>
              <w:widowControl w:val="0"/>
              <w:autoSpaceDE w:val="0"/>
              <w:spacing w:after="0" w:line="360" w:lineRule="auto"/>
              <w:ind w:left="720" w:right="-1"/>
              <w:rPr>
                <w:rFonts w:ascii="Times New Roman" w:eastAsia="Times New Roman" w:hAnsi="Times New Roman"/>
                <w:w w:val="105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91D" w:rsidRDefault="0060391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60391D" w:rsidTr="00317CB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1D" w:rsidRDefault="0060391D" w:rsidP="0060391D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360" w:lineRule="auto"/>
              <w:ind w:right="-1"/>
              <w:rPr>
                <w:rFonts w:ascii="Times New Roman" w:eastAsia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5"/>
                <w:sz w:val="28"/>
                <w:szCs w:val="28"/>
              </w:rPr>
              <w:t xml:space="preserve">Числа от 1 до 10. Сложение и вычитание. </w:t>
            </w:r>
          </w:p>
          <w:p w:rsidR="0060391D" w:rsidRDefault="0060391D" w:rsidP="00317CB0">
            <w:pPr>
              <w:pStyle w:val="ParagraphStyle"/>
              <w:spacing w:before="120"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91D" w:rsidRDefault="0060391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</w:tr>
      <w:tr w:rsidR="0060391D" w:rsidTr="00317CB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1D" w:rsidRDefault="0060391D" w:rsidP="0060391D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360" w:lineRule="auto"/>
              <w:ind w:right="-1"/>
              <w:rPr>
                <w:rFonts w:ascii="Times New Roman" w:eastAsia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5"/>
                <w:sz w:val="28"/>
                <w:szCs w:val="28"/>
              </w:rPr>
              <w:t xml:space="preserve">Числа от 11 до 20. Нумерация 11 – 20. </w:t>
            </w:r>
          </w:p>
          <w:p w:rsidR="0060391D" w:rsidRDefault="0060391D" w:rsidP="00317CB0">
            <w:pPr>
              <w:pStyle w:val="ParagraphStyle"/>
              <w:spacing w:before="120"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91D" w:rsidRDefault="0060391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60391D" w:rsidTr="00317CB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1D" w:rsidRDefault="0060391D" w:rsidP="0060391D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Сложение и вычитание с переходом через десяток. </w:t>
            </w:r>
          </w:p>
          <w:p w:rsidR="0060391D" w:rsidRDefault="0060391D" w:rsidP="00317CB0">
            <w:pPr>
              <w:pStyle w:val="ParagraphStyle"/>
              <w:spacing w:before="120"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91D" w:rsidRDefault="0060391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60391D" w:rsidTr="00317CB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1D" w:rsidRDefault="0060391D" w:rsidP="0060391D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360" w:lineRule="auto"/>
              <w:ind w:right="-1"/>
              <w:rPr>
                <w:rFonts w:ascii="Times New Roman" w:eastAsia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5"/>
                <w:sz w:val="28"/>
                <w:szCs w:val="28"/>
              </w:rPr>
              <w:t xml:space="preserve">Итоговое повторение. </w:t>
            </w:r>
          </w:p>
          <w:p w:rsidR="0060391D" w:rsidRDefault="0060391D" w:rsidP="00317CB0">
            <w:pPr>
              <w:pStyle w:val="ParagraphStyle"/>
              <w:spacing w:before="120"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91D" w:rsidRDefault="0060391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0391D" w:rsidTr="00317CB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1D" w:rsidRDefault="0060391D" w:rsidP="00317CB0">
            <w:pPr>
              <w:autoSpaceDE w:val="0"/>
              <w:snapToGrid w:val="0"/>
              <w:spacing w:after="0" w:line="360" w:lineRule="auto"/>
              <w:ind w:left="108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0391D" w:rsidRDefault="0060391D" w:rsidP="00317CB0">
            <w:pPr>
              <w:autoSpaceDE w:val="0"/>
              <w:spacing w:after="0" w:line="360" w:lineRule="auto"/>
              <w:ind w:left="108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Всего часов</w:t>
            </w:r>
          </w:p>
          <w:p w:rsidR="0060391D" w:rsidRDefault="0060391D" w:rsidP="00317CB0">
            <w:pPr>
              <w:autoSpaceDE w:val="0"/>
              <w:spacing w:after="0" w:line="360" w:lineRule="auto"/>
              <w:ind w:left="108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1D" w:rsidRDefault="0060391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</w:t>
            </w:r>
          </w:p>
        </w:tc>
      </w:tr>
    </w:tbl>
    <w:p w:rsidR="0060391D" w:rsidRDefault="0060391D" w:rsidP="0060391D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391D" w:rsidRDefault="0060391D" w:rsidP="0060391D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60391D" w:rsidRDefault="0060391D" w:rsidP="0060391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Планируемый уровень подготовки учащегося на конец учебного года.</w:t>
      </w:r>
    </w:p>
    <w:p w:rsidR="0060391D" w:rsidRDefault="0060391D" w:rsidP="0060391D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Учащиеся должны уметь: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называть: предмет, расположенный левее (правее), выше (ниже) данного предмета; над (под, за) данным предметом; между двумя предметами;</w:t>
      </w:r>
      <w:proofErr w:type="gramEnd"/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числа от 1 до 20 в прямом и в обратном порядке;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число, большее (меньшее)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данного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несколько единиц;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фигуру, изображенную на рисунке (круг, квадрат, треугольник, точка, отрезок);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воспроизводить по памяти: результаты табличного сложения двух любых однозначных чисел; результаты табличных случаев вычитания в пределах 10;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различать: число и цифру; знаки арифметических действий (+, - );  шар и круг, куб и квадрат; многоугольники: треугольник, квадрат, пятиугольник;</w:t>
      </w:r>
      <w:proofErr w:type="gramEnd"/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-сравнивать: предметы с целью выявления в них сходства и различия; предметы по форме, по размерам (больше, меньше); два числа, характеризуя результат сравнения словами «больше», «меньше», «больше на», «меньше на»;</w:t>
      </w:r>
      <w:proofErr w:type="gramEnd"/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использовать модели (моделировать учебную ситуацию): выкладывать или изображать фишки для выбора необходимого арифметического действия при решении задач;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применять: свойства сложения и вычитания при выполнении вычислений; правило порядка выполнения действий в выражениях со скобками;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решать учебные и практические задачи: ориентироваться в окружающем пространстве (выбор маршрута, пути передвижения и пр.);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-выделять из множества один или несколько предметов, обладающих указанным свойством;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пересчитывать предметы и выражать результат числом;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читать записанные цифрами числа в пределах двух десятков и записывать цифрами данные числа;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-определять, в каком из множеств больше (меньше) предметов; сколько предметов в одном множестве, сколько в другом;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решать текстовые арифметические задачи в одно действие, записывать решение задачи;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табличное вычитание изученными приемами;</w:t>
      </w:r>
    </w:p>
    <w:p w:rsidR="0060391D" w:rsidRDefault="0060391D" w:rsidP="0060391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измерять длину предмета с помощью линейки;  изображать отрезок заданной длины отмечать на бумаге точку, проводить линию по линейке.</w:t>
      </w:r>
    </w:p>
    <w:p w:rsidR="0060391D" w:rsidRDefault="0060391D" w:rsidP="0060391D">
      <w:pPr>
        <w:spacing w:before="280" w:after="28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Литература и материально-технические средства обучения:</w:t>
      </w:r>
    </w:p>
    <w:p w:rsidR="0060391D" w:rsidRDefault="0060391D" w:rsidP="0060391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1 Методическое пособие к учебнику «Математика. 1кл.»/ М.А. Бантова, Г.В. Бельтюкова, С.В. Степанова.- М.: Просвещение,2011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Моро М.И. Тетрадь по математике. 1 класс: пособие для учащихся общеобразовательных учреждений: в 2 ч. / М. И. Моро, С. И. Волкова. – Просвещение, 2011. 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Моро  М. И.  Математика. 1 класс: учебник для общеобразовательных учреждений: в 2 ч. / М. И. Моро, С. И. Волкова, С. В. Степанова.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.: Просвещение, 2011.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Ситникова Т. Н., Яценко И. Ф. Поурочные разработки по математике: 1 класс.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.: ВАКО, 2011.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Школа России. Концепция и программы для начальных классов: в 2 ч. Ч. 1. / науч. рук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роекта А. А. Плешаков. –Просвещение, 2010.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Информационно-коммуникативные средства</w:t>
      </w:r>
      <w:r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Математика: электронное приложение к учебнику М.И. Моро (CD).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Наглядные пособия.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Комплект демонстрационных таблиц к учебнику «Математика» М. И. Моро, С. И. Волковой, С. В. Степановой.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Материально-технические средства.</w:t>
      </w:r>
    </w:p>
    <w:p w:rsidR="0060391D" w:rsidRDefault="0060391D" w:rsidP="006039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60391D" w:rsidRDefault="0060391D" w:rsidP="0060391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391D" w:rsidRDefault="0060391D" w:rsidP="0060391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391D" w:rsidRDefault="0060391D" w:rsidP="0060391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391D" w:rsidRDefault="0060391D" w:rsidP="0060391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391D" w:rsidRDefault="0060391D" w:rsidP="0060391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391D" w:rsidRDefault="0060391D" w:rsidP="0060391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391D" w:rsidRDefault="0060391D" w:rsidP="0060391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B042D" w:rsidRDefault="000B3835"/>
    <w:sectPr w:rsidR="00CB042D" w:rsidSect="00B3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B2" w:rsidRDefault="000B38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B2" w:rsidRDefault="000B3835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.05pt;width:1.1pt;height:11.4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466B2" w:rsidRDefault="000B3835">
                <w:pPr>
                  <w:pStyle w:val="a3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B2" w:rsidRDefault="000B3835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E"/>
    <w:multiLevelType w:val="singleLevel"/>
    <w:tmpl w:val="0000001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3F975116"/>
    <w:multiLevelType w:val="hybridMultilevel"/>
    <w:tmpl w:val="281635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</w:footnotePr>
  <w:compat/>
  <w:rsids>
    <w:rsidRoot w:val="0060391D"/>
    <w:rsid w:val="000B3835"/>
    <w:rsid w:val="0024615E"/>
    <w:rsid w:val="0060391D"/>
    <w:rsid w:val="00921D50"/>
    <w:rsid w:val="00B3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1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0391D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60391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aragraphStyle">
    <w:name w:val="Paragraph Style"/>
    <w:rsid w:val="0060391D"/>
    <w:pPr>
      <w:suppressAutoHyphen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hi-IN" w:bidi="hi-IN"/>
    </w:rPr>
  </w:style>
  <w:style w:type="paragraph" w:styleId="a5">
    <w:name w:val="No Spacing"/>
    <w:qFormat/>
    <w:rsid w:val="006039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3847</Words>
  <Characters>21931</Characters>
  <Application>Microsoft Office Word</Application>
  <DocSecurity>0</DocSecurity>
  <Lines>182</Lines>
  <Paragraphs>51</Paragraphs>
  <ScaleCrop>false</ScaleCrop>
  <Company>Krokoz™</Company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2015-03-25T18:26:00Z</dcterms:created>
  <dcterms:modified xsi:type="dcterms:W3CDTF">2015-03-25T18:26:00Z</dcterms:modified>
</cp:coreProperties>
</file>