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D" w:rsidRDefault="0025573D" w:rsidP="00F53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BDE" w:rsidRDefault="009058ED" w:rsidP="00F5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058ED" w:rsidRDefault="009058ED" w:rsidP="00F530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Стр. 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1.ПАСПОРТ РАБОЧЕЙ ПРОГРАММЫ УЧЕБНОЙ 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ДИСЦИПЛИНЫ…………………………………………………………………………………….3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2.СТРУКТУРА И ПРИМЕРНОЕ 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 ……………………………………………………………………………………4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3.УСЛОВИЯ РЕАЛИЗАЦИИ РАБОЧЕЙ ПРОГРАММЫ УЧЕБНОЙ 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ДИСЦИПЛИНЫ……………………………………………………………………………………12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4.КОНТРОЛЬ И ОЦЕНКА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ДИСЦИПЛИНЫ……………………………………………………………………………………13</w:t>
      </w: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Default="009058ED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B2" w:rsidRDefault="008C53B2" w:rsidP="00905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3B2" w:rsidRDefault="008C53B2" w:rsidP="008C5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058ED" w:rsidRPr="008C53B2" w:rsidRDefault="008C53B2" w:rsidP="008C53B2">
      <w:pPr>
        <w:pStyle w:val="ac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058ED" w:rsidRPr="008C53B2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9058ED" w:rsidRPr="008C53B2" w:rsidRDefault="009058ED" w:rsidP="008C53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B2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9058ED" w:rsidRPr="008C53B2" w:rsidRDefault="009058ED" w:rsidP="008C53B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8ED" w:rsidRPr="008C53B2" w:rsidRDefault="009058ED" w:rsidP="008C53B2">
      <w:pPr>
        <w:pStyle w:val="ac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C53B2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9058ED" w:rsidRPr="008C53B2" w:rsidRDefault="009058ED" w:rsidP="008C53B2">
      <w:pPr>
        <w:pStyle w:val="ac"/>
        <w:spacing w:after="0" w:line="240" w:lineRule="atLeast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058ED" w:rsidRPr="008C53B2" w:rsidRDefault="009058E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</w:t>
      </w:r>
      <w:r w:rsidR="00421160" w:rsidRPr="008C53B2">
        <w:rPr>
          <w:rFonts w:ascii="Times New Roman" w:hAnsi="Times New Roman" w:cs="Times New Roman"/>
          <w:sz w:val="24"/>
          <w:szCs w:val="24"/>
        </w:rPr>
        <w:t xml:space="preserve"> </w:t>
      </w:r>
      <w:r w:rsidRPr="008C53B2">
        <w:rPr>
          <w:rFonts w:ascii="Times New Roman" w:hAnsi="Times New Roman" w:cs="Times New Roman"/>
          <w:sz w:val="24"/>
          <w:szCs w:val="24"/>
        </w:rPr>
        <w:t xml:space="preserve"> СПО 151901 «Технологии машиностроения». 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C53B2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 основной профессиональной образовательной программы:</w:t>
      </w:r>
    </w:p>
    <w:p w:rsidR="00421160" w:rsidRPr="008C53B2" w:rsidRDefault="00421160" w:rsidP="008C53B2">
      <w:pPr>
        <w:pStyle w:val="ac"/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Дисциплина математического и общего естественнонаучного цикла. ЕН.01.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Коды формируемых компетенций ОК</w:t>
      </w:r>
      <w:proofErr w:type="gramStart"/>
      <w:r w:rsidRPr="008C53B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C53B2">
        <w:rPr>
          <w:rFonts w:ascii="Times New Roman" w:hAnsi="Times New Roman" w:cs="Times New Roman"/>
          <w:sz w:val="24"/>
          <w:szCs w:val="24"/>
        </w:rPr>
        <w:t xml:space="preserve"> ОК5 ОК8. ПК</w:t>
      </w:r>
      <w:proofErr w:type="gramStart"/>
      <w:r w:rsidRPr="008C53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C53B2">
        <w:rPr>
          <w:rFonts w:ascii="Times New Roman" w:hAnsi="Times New Roman" w:cs="Times New Roman"/>
          <w:sz w:val="24"/>
          <w:szCs w:val="24"/>
        </w:rPr>
        <w:t xml:space="preserve">.4 ПК1.5 ПК 3.2 </w:t>
      </w:r>
    </w:p>
    <w:p w:rsidR="00421160" w:rsidRPr="008C53B2" w:rsidRDefault="00421160" w:rsidP="008C53B2">
      <w:pPr>
        <w:pStyle w:val="ac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C53B2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21160" w:rsidRPr="008C53B2" w:rsidRDefault="00421160" w:rsidP="008C53B2">
      <w:pPr>
        <w:pStyle w:val="ac"/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8C53B2">
        <w:rPr>
          <w:rFonts w:ascii="Times New Roman" w:hAnsi="Times New Roman" w:cs="Times New Roman"/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анализировать сложные функции и строить их графики;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выполнять действия над комплексными числами;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выполнять операции над матрицами и определителями;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решать задачи на вычисление вероятности с использованием элементов комбинаторики;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решать прикладные задачи с использованием элементов дифференциального и интегрального исчислений;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решать системы линейных уравнений различными методами</w:t>
      </w:r>
      <w:r w:rsidR="0025573D" w:rsidRPr="008C53B2">
        <w:rPr>
          <w:rFonts w:ascii="Times New Roman" w:hAnsi="Times New Roman" w:cs="Times New Roman"/>
          <w:sz w:val="24"/>
          <w:szCs w:val="24"/>
        </w:rPr>
        <w:t>.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8C53B2">
        <w:rPr>
          <w:rFonts w:ascii="Times New Roman" w:hAnsi="Times New Roman" w:cs="Times New Roman"/>
          <w:i/>
          <w:sz w:val="24"/>
          <w:szCs w:val="24"/>
        </w:rPr>
        <w:t>В</w:t>
      </w:r>
      <w:r w:rsidR="00421160" w:rsidRPr="008C53B2">
        <w:rPr>
          <w:rFonts w:ascii="Times New Roman" w:hAnsi="Times New Roman" w:cs="Times New Roman"/>
          <w:i/>
          <w:sz w:val="24"/>
          <w:szCs w:val="24"/>
        </w:rPr>
        <w:t xml:space="preserve"> результате освоения учебной дисциплины обучающийся должен знать: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программ;</w:t>
      </w: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основные</w:t>
      </w:r>
      <w:r w:rsidR="0025573D" w:rsidRPr="008C53B2">
        <w:rPr>
          <w:rFonts w:ascii="Times New Roman" w:hAnsi="Times New Roman" w:cs="Times New Roman"/>
          <w:sz w:val="24"/>
          <w:szCs w:val="24"/>
        </w:rPr>
        <w:t xml:space="preserve"> понятия и </w:t>
      </w:r>
      <w:r w:rsidRPr="008C53B2">
        <w:rPr>
          <w:rFonts w:ascii="Times New Roman" w:hAnsi="Times New Roman" w:cs="Times New Roman"/>
          <w:sz w:val="24"/>
          <w:szCs w:val="24"/>
        </w:rPr>
        <w:t>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421160" w:rsidRPr="008C53B2" w:rsidRDefault="00421160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исчисления;</w:t>
      </w: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 xml:space="preserve">роль и место математики в современном мире при освоении профессиональных дисциплин и в сфере профессиональной деятельности. </w:t>
      </w:r>
    </w:p>
    <w:p w:rsidR="0025573D" w:rsidRPr="008C53B2" w:rsidRDefault="0025573D" w:rsidP="008C53B2">
      <w:pPr>
        <w:pStyle w:val="ac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5573D" w:rsidRPr="008C53B2" w:rsidRDefault="0025573D" w:rsidP="008C53B2">
      <w:pPr>
        <w:pStyle w:val="ac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C53B2">
        <w:rPr>
          <w:rFonts w:ascii="Times New Roman" w:hAnsi="Times New Roman" w:cs="Times New Roman"/>
          <w:b/>
          <w:sz w:val="24"/>
          <w:szCs w:val="24"/>
        </w:rPr>
        <w:t>Количество часов на основании рабочей программы учебной дисциплины:</w:t>
      </w:r>
    </w:p>
    <w:p w:rsidR="0025573D" w:rsidRPr="008C53B2" w:rsidRDefault="0025573D" w:rsidP="008C53B2">
      <w:pPr>
        <w:pStyle w:val="ac"/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Максимальной учебной нагрузки</w:t>
      </w: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C53B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53B2">
        <w:rPr>
          <w:rFonts w:ascii="Times New Roman" w:hAnsi="Times New Roman" w:cs="Times New Roman"/>
          <w:sz w:val="24"/>
          <w:szCs w:val="24"/>
        </w:rPr>
        <w:t xml:space="preserve"> – 81 час, в том числе:</w:t>
      </w: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>обязательной аудитории учебной нагрузки обучающегося – 54 часа;</w:t>
      </w:r>
    </w:p>
    <w:p w:rsidR="0025573D" w:rsidRPr="008C53B2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Default="0025573D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8C53B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C53B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53B2">
        <w:rPr>
          <w:rFonts w:ascii="Times New Roman" w:hAnsi="Times New Roman" w:cs="Times New Roman"/>
          <w:sz w:val="24"/>
          <w:szCs w:val="24"/>
        </w:rPr>
        <w:t xml:space="preserve"> – 27 часов.</w:t>
      </w:r>
    </w:p>
    <w:p w:rsidR="008C53B2" w:rsidRDefault="008C53B2" w:rsidP="008C53B2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8C53B2" w:rsidRPr="008C53B2" w:rsidRDefault="008C53B2" w:rsidP="008C53B2">
      <w:pPr>
        <w:pStyle w:val="ac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067190" w:rsidRDefault="00067190" w:rsidP="00997683">
      <w:pPr>
        <w:pStyle w:val="ac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683" w:rsidRDefault="00997683" w:rsidP="00997683">
      <w:pPr>
        <w:pStyle w:val="ac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3B2" w:rsidRDefault="00997683" w:rsidP="00997683">
      <w:pPr>
        <w:pStyle w:val="ac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997683" w:rsidRDefault="00997683" w:rsidP="00997683">
      <w:pPr>
        <w:pStyle w:val="ac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683" w:rsidRDefault="00997683" w:rsidP="00997683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дисциплины и виды учебной работы</w:t>
      </w:r>
    </w:p>
    <w:p w:rsidR="00997683" w:rsidRDefault="00997683" w:rsidP="00997683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jc w:val="center"/>
        <w:tblInd w:w="1084" w:type="dxa"/>
        <w:tblLook w:val="04A0" w:firstRow="1" w:lastRow="0" w:firstColumn="1" w:lastColumn="0" w:noHBand="0" w:noVBand="1"/>
      </w:tblPr>
      <w:tblGrid>
        <w:gridCol w:w="6804"/>
        <w:gridCol w:w="1383"/>
      </w:tblGrid>
      <w:tr w:rsidR="00997683" w:rsidTr="00997683">
        <w:trPr>
          <w:jc w:val="center"/>
        </w:trPr>
        <w:tc>
          <w:tcPr>
            <w:tcW w:w="6804" w:type="dxa"/>
          </w:tcPr>
          <w:p w:rsidR="00997683" w:rsidRPr="00997683" w:rsidRDefault="00997683" w:rsidP="0099768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8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83" w:type="dxa"/>
          </w:tcPr>
          <w:p w:rsidR="00997683" w:rsidRPr="00997683" w:rsidRDefault="00997683" w:rsidP="0099768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8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P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P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9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аудиторная учебная нагрузка (всего)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Практические занятия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P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Выполнение домашних занятий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7683" w:rsidTr="00997683">
        <w:trPr>
          <w:jc w:val="center"/>
        </w:trPr>
        <w:tc>
          <w:tcPr>
            <w:tcW w:w="6804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Подготовка к практическим занятиям</w:t>
            </w:r>
          </w:p>
        </w:tc>
        <w:tc>
          <w:tcPr>
            <w:tcW w:w="1383" w:type="dxa"/>
          </w:tcPr>
          <w:p w:rsidR="00997683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7190" w:rsidTr="00EF2A6E">
        <w:trPr>
          <w:jc w:val="center"/>
        </w:trPr>
        <w:tc>
          <w:tcPr>
            <w:tcW w:w="8187" w:type="dxa"/>
            <w:gridSpan w:val="2"/>
          </w:tcPr>
          <w:p w:rsidR="00067190" w:rsidRDefault="00067190" w:rsidP="0099768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формате зачета </w:t>
            </w:r>
          </w:p>
        </w:tc>
      </w:tr>
    </w:tbl>
    <w:p w:rsidR="00997683" w:rsidRPr="008C53B2" w:rsidRDefault="00997683" w:rsidP="00997683">
      <w:pPr>
        <w:pStyle w:val="ac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Default="0025573D" w:rsidP="0025573D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Pr="0025573D" w:rsidRDefault="0025573D" w:rsidP="0025573D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25573D" w:rsidRDefault="0025573D" w:rsidP="0025573D">
      <w:pPr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25573D">
      <w:pPr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25573D">
      <w:pPr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25573D">
      <w:pPr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190" w:rsidRPr="00067190" w:rsidRDefault="00067190" w:rsidP="00067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5573D" w:rsidRDefault="00067190" w:rsidP="00067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67190">
        <w:rPr>
          <w:rFonts w:ascii="Times New Roman" w:hAnsi="Times New Roman" w:cs="Times New Roman"/>
          <w:b/>
          <w:i/>
          <w:sz w:val="24"/>
          <w:szCs w:val="24"/>
        </w:rPr>
        <w:t>Условия реализации рабочей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067190">
        <w:rPr>
          <w:rFonts w:ascii="Times New Roman" w:hAnsi="Times New Roman" w:cs="Times New Roman"/>
          <w:b/>
          <w:i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190" w:rsidRDefault="00067190" w:rsidP="00067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067190" w:rsidRDefault="00067190" w:rsidP="00067190">
      <w:pPr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дисциплины требует наличия учебного кабинета «Математика». </w:t>
      </w: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-посадочные места 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-мультимедийный проектор;</w:t>
      </w: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-экран;</w:t>
      </w:r>
    </w:p>
    <w:p w:rsidR="00F229B9" w:rsidRDefault="00067190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-стенд: «Дифференцирование и интегрирование функций одной переменной (формулы </w:t>
      </w:r>
      <w:r w:rsidR="00F229B9">
        <w:rPr>
          <w:rFonts w:ascii="Times New Roman" w:hAnsi="Times New Roman" w:cs="Times New Roman"/>
          <w:sz w:val="24"/>
          <w:szCs w:val="24"/>
        </w:rPr>
        <w:t>и правила)»;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-плакаты: «Комплексные числа и действия над ними», «Матрицы и операции над нами», «Числовые множества и операции над ними», «Вероятность события», «Теоремы сложения и умножения вероятностей», </w:t>
      </w:r>
      <w:r w:rsidR="0006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«Случайные величины и их характеристики», «Линейное программирование», «Формулы прямоугольников и трапеций для численного интегрирования». 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:rsidR="00F229B9" w:rsidRDefault="00F229B9" w:rsidP="00067190">
      <w:pPr>
        <w:rPr>
          <w:rFonts w:ascii="Times New Roman" w:hAnsi="Times New Roman" w:cs="Times New Roman"/>
          <w:b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229B9" w:rsidRDefault="00F229B9" w:rsidP="00067190">
      <w:pPr>
        <w:rPr>
          <w:rFonts w:ascii="Times New Roman" w:hAnsi="Times New Roman" w:cs="Times New Roman"/>
          <w:b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29B9">
        <w:rPr>
          <w:rFonts w:ascii="Times New Roman" w:hAnsi="Times New Roman" w:cs="Times New Roman"/>
          <w:i/>
          <w:sz w:val="24"/>
          <w:szCs w:val="24"/>
        </w:rPr>
        <w:t>Богомолов Н.В.</w:t>
      </w:r>
      <w:r>
        <w:rPr>
          <w:rFonts w:ascii="Times New Roman" w:hAnsi="Times New Roman" w:cs="Times New Roman"/>
          <w:sz w:val="24"/>
          <w:szCs w:val="24"/>
        </w:rPr>
        <w:t xml:space="preserve"> Математика: Учебник для ссузов. М.: Дрофа, 2006</w:t>
      </w:r>
    </w:p>
    <w:p w:rsidR="00F229B9" w:rsidRP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067190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229B9">
        <w:rPr>
          <w:rFonts w:ascii="Times New Roman" w:hAnsi="Times New Roman" w:cs="Times New Roman"/>
          <w:i/>
          <w:sz w:val="24"/>
          <w:szCs w:val="24"/>
        </w:rPr>
        <w:t>Богомолов Н.В.</w:t>
      </w:r>
      <w:r>
        <w:rPr>
          <w:rFonts w:ascii="Times New Roman" w:hAnsi="Times New Roman" w:cs="Times New Roman"/>
          <w:sz w:val="24"/>
          <w:szCs w:val="24"/>
        </w:rPr>
        <w:t xml:space="preserve"> Сборник задач по математике: Учебное пособие для ссузов.: Дрофа, 2007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229B9">
        <w:rPr>
          <w:rFonts w:ascii="Times New Roman" w:hAnsi="Times New Roman" w:cs="Times New Roman"/>
          <w:i/>
          <w:sz w:val="24"/>
          <w:szCs w:val="24"/>
        </w:rPr>
        <w:t>Богомолов Н.В.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занятия по математике: Учебное пособие для ссузов. М.: Дрофа 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«Математика» - учебно-методическая газета «Квант//Журнал. Форма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kvant.mirror1.ru </w:t>
      </w: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библиотека. Форма доступа: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229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F229B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29B9" w:rsidRP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Pr="00F229B9" w:rsidRDefault="00F229B9" w:rsidP="00067190">
      <w:pPr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F229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90" w:rsidRDefault="00F229B9" w:rsidP="00F2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9B9">
        <w:rPr>
          <w:rFonts w:ascii="Times New Roman" w:hAnsi="Times New Roman" w:cs="Times New Roman"/>
          <w:sz w:val="24"/>
          <w:szCs w:val="24"/>
        </w:rPr>
        <w:t>12</w:t>
      </w:r>
    </w:p>
    <w:p w:rsidR="0090299B" w:rsidRDefault="0090299B" w:rsidP="00F229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B9" w:rsidRDefault="00F229B9" w:rsidP="00F22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                   ДИСЦИПЛИНЫ</w:t>
      </w:r>
    </w:p>
    <w:p w:rsidR="00F229B9" w:rsidRDefault="00F229B9" w:rsidP="00F229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9B9" w:rsidRDefault="00F229B9" w:rsidP="002E7E7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 (сообщений и докладов).</w:t>
      </w:r>
    </w:p>
    <w:p w:rsidR="002E7E72" w:rsidRDefault="002E7E72" w:rsidP="002E7E72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426" w:type="dxa"/>
        <w:tblLook w:val="04A0" w:firstRow="1" w:lastRow="0" w:firstColumn="1" w:lastColumn="0" w:noHBand="0" w:noVBand="1"/>
      </w:tblPr>
      <w:tblGrid>
        <w:gridCol w:w="4785"/>
        <w:gridCol w:w="4927"/>
      </w:tblGrid>
      <w:tr w:rsidR="002E7E72" w:rsidTr="002E7E72">
        <w:tc>
          <w:tcPr>
            <w:tcW w:w="4785" w:type="dxa"/>
          </w:tcPr>
          <w:p w:rsidR="002E7E72" w:rsidRPr="002E7E72" w:rsidRDefault="002E7E72" w:rsidP="002E7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(освоение умения, усвоенные знания)</w:t>
            </w:r>
          </w:p>
        </w:tc>
        <w:tc>
          <w:tcPr>
            <w:tcW w:w="4927" w:type="dxa"/>
          </w:tcPr>
          <w:p w:rsidR="002E7E72" w:rsidRPr="002E7E72" w:rsidRDefault="002E7E72" w:rsidP="002E7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7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2E7E72" w:rsidRPr="002E7E72" w:rsidRDefault="002E7E72" w:rsidP="002E7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7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2E7E72" w:rsidTr="002E7E72">
        <w:tc>
          <w:tcPr>
            <w:tcW w:w="4785" w:type="dxa"/>
          </w:tcPr>
          <w:p w:rsidR="002E7E72" w:rsidRDefault="002E7E72" w:rsidP="002E7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7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сложные функции и строить их графики;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над комплексными числами;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операции над матрицами и определителями;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 вероятности с использованием элементов комбинаторики;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с использованием элементов дифференциального и интегрального исчислений;</w:t>
            </w:r>
          </w:p>
          <w:p w:rsidR="002E7E72" w:rsidRP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системы линейных уравнений различными методами 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практических заданий; сообщения, и докладов; ответов на вопросы по теоретической части; контрольной работы </w:t>
            </w:r>
          </w:p>
        </w:tc>
      </w:tr>
      <w:tr w:rsidR="002E7E72" w:rsidTr="002E7E72">
        <w:tc>
          <w:tcPr>
            <w:tcW w:w="4785" w:type="dxa"/>
          </w:tcPr>
          <w:p w:rsidR="002E7E72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90299B" w:rsidRDefault="002E7E72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мате</w:t>
            </w:r>
            <w:r w:rsidR="009029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атических мет</w:t>
            </w:r>
            <w:r w:rsidR="0090299B">
              <w:rPr>
                <w:rFonts w:ascii="Times New Roman" w:hAnsi="Times New Roman" w:cs="Times New Roman"/>
                <w:sz w:val="24"/>
                <w:szCs w:val="24"/>
              </w:rPr>
              <w:t>одов решения прикладных задач;</w:t>
            </w:r>
          </w:p>
          <w:p w:rsidR="0090299B" w:rsidRDefault="0090299B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понятий и методов;</w:t>
            </w:r>
          </w:p>
          <w:p w:rsidR="0090299B" w:rsidRDefault="0090299B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90299B" w:rsidRDefault="0090299B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 интегрального и дифференциального исчисления;</w:t>
            </w:r>
          </w:p>
          <w:p w:rsidR="002E7E72" w:rsidRDefault="0090299B" w:rsidP="009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деятельности. </w:t>
            </w:r>
          </w:p>
        </w:tc>
        <w:tc>
          <w:tcPr>
            <w:tcW w:w="4927" w:type="dxa"/>
          </w:tcPr>
          <w:p w:rsidR="002E7E72" w:rsidRDefault="0090299B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формуле устного опроса;</w:t>
            </w:r>
          </w:p>
          <w:p w:rsidR="0090299B" w:rsidRDefault="0090299B" w:rsidP="002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практических заданий; сообщения, и докладов; ответов на вопросы по теоретической части; контрольной работы</w:t>
            </w:r>
          </w:p>
        </w:tc>
      </w:tr>
    </w:tbl>
    <w:p w:rsidR="002E7E72" w:rsidRDefault="002E7E72" w:rsidP="002E7E7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229B9" w:rsidRDefault="00F229B9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99B" w:rsidRDefault="0090299B" w:rsidP="00F229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8ED" w:rsidRPr="009058ED" w:rsidRDefault="0090299B" w:rsidP="00902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sectPr w:rsidR="009058ED" w:rsidRPr="009058ED" w:rsidSect="008C53B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60D7"/>
    <w:multiLevelType w:val="hybridMultilevel"/>
    <w:tmpl w:val="9E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14C7"/>
    <w:multiLevelType w:val="multilevel"/>
    <w:tmpl w:val="A7609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1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67190"/>
    <w:rsid w:val="0025573D"/>
    <w:rsid w:val="002E7E72"/>
    <w:rsid w:val="00356BDE"/>
    <w:rsid w:val="00421160"/>
    <w:rsid w:val="0082039C"/>
    <w:rsid w:val="008C53B2"/>
    <w:rsid w:val="008E5B08"/>
    <w:rsid w:val="0090299B"/>
    <w:rsid w:val="009058ED"/>
    <w:rsid w:val="00997683"/>
    <w:rsid w:val="00F229B9"/>
    <w:rsid w:val="00F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8"/>
  </w:style>
  <w:style w:type="paragraph" w:styleId="1">
    <w:name w:val="heading 1"/>
    <w:basedOn w:val="a"/>
    <w:next w:val="a"/>
    <w:link w:val="10"/>
    <w:uiPriority w:val="9"/>
    <w:qFormat/>
    <w:rsid w:val="008E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0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B08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5B0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5B0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5B0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5B0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5B08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5B08"/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5B0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5B0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5B0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5B0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5B08"/>
    <w:rPr>
      <w:b/>
      <w:bCs/>
    </w:rPr>
  </w:style>
  <w:style w:type="character" w:styleId="a9">
    <w:name w:val="Emphasis"/>
    <w:basedOn w:val="a0"/>
    <w:uiPriority w:val="20"/>
    <w:qFormat/>
    <w:rsid w:val="008E5B08"/>
    <w:rPr>
      <w:i/>
      <w:iCs/>
    </w:rPr>
  </w:style>
  <w:style w:type="paragraph" w:styleId="aa">
    <w:name w:val="No Spacing"/>
    <w:link w:val="ab"/>
    <w:uiPriority w:val="1"/>
    <w:qFormat/>
    <w:rsid w:val="008E5B08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8E5B08"/>
  </w:style>
  <w:style w:type="paragraph" w:styleId="ac">
    <w:name w:val="List Paragraph"/>
    <w:basedOn w:val="a"/>
    <w:uiPriority w:val="34"/>
    <w:qFormat/>
    <w:rsid w:val="008E5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B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5B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E5B0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5B08"/>
    <w:rPr>
      <w:b/>
      <w:bCs/>
      <w:i/>
      <w:iCs/>
      <w:color w:val="629DD1" w:themeColor="accent1"/>
    </w:rPr>
  </w:style>
  <w:style w:type="character" w:styleId="af">
    <w:name w:val="Subtle Emphasis"/>
    <w:basedOn w:val="a0"/>
    <w:uiPriority w:val="19"/>
    <w:qFormat/>
    <w:rsid w:val="008E5B08"/>
    <w:rPr>
      <w:i/>
      <w:iCs/>
      <w:color w:val="808080" w:themeColor="text1" w:themeTint="7F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8E5B08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8E5B08"/>
    <w:rPr>
      <w:smallCaps/>
      <w:color w:val="297FD5" w:themeColor="accent2"/>
      <w:u w:val="single"/>
    </w:rPr>
  </w:style>
  <w:style w:type="character" w:styleId="af2">
    <w:name w:val="Intense Reference"/>
    <w:basedOn w:val="a0"/>
    <w:uiPriority w:val="32"/>
    <w:qFormat/>
    <w:rsid w:val="008E5B08"/>
    <w:rPr>
      <w:b/>
      <w:bCs/>
      <w:smallCaps/>
      <w:color w:val="297FD5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E5B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E5B08"/>
    <w:pPr>
      <w:outlineLvl w:val="9"/>
    </w:pPr>
  </w:style>
  <w:style w:type="table" w:styleId="af5">
    <w:name w:val="Table Grid"/>
    <w:basedOn w:val="a1"/>
    <w:uiPriority w:val="59"/>
    <w:rsid w:val="009976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229B9"/>
    <w:rPr>
      <w:color w:val="9454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8"/>
  </w:style>
  <w:style w:type="paragraph" w:styleId="1">
    <w:name w:val="heading 1"/>
    <w:basedOn w:val="a"/>
    <w:next w:val="a"/>
    <w:link w:val="10"/>
    <w:uiPriority w:val="9"/>
    <w:qFormat/>
    <w:rsid w:val="008E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0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B08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5B0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5B0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5B0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5B0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5B08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5B08"/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5B0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5B0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5B0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5B0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5B08"/>
    <w:rPr>
      <w:b/>
      <w:bCs/>
    </w:rPr>
  </w:style>
  <w:style w:type="character" w:styleId="a9">
    <w:name w:val="Emphasis"/>
    <w:basedOn w:val="a0"/>
    <w:uiPriority w:val="20"/>
    <w:qFormat/>
    <w:rsid w:val="008E5B08"/>
    <w:rPr>
      <w:i/>
      <w:iCs/>
    </w:rPr>
  </w:style>
  <w:style w:type="paragraph" w:styleId="aa">
    <w:name w:val="No Spacing"/>
    <w:link w:val="ab"/>
    <w:uiPriority w:val="1"/>
    <w:qFormat/>
    <w:rsid w:val="008E5B08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8E5B08"/>
  </w:style>
  <w:style w:type="paragraph" w:styleId="ac">
    <w:name w:val="List Paragraph"/>
    <w:basedOn w:val="a"/>
    <w:uiPriority w:val="34"/>
    <w:qFormat/>
    <w:rsid w:val="008E5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B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5B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E5B0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5B08"/>
    <w:rPr>
      <w:b/>
      <w:bCs/>
      <w:i/>
      <w:iCs/>
      <w:color w:val="629DD1" w:themeColor="accent1"/>
    </w:rPr>
  </w:style>
  <w:style w:type="character" w:styleId="af">
    <w:name w:val="Subtle Emphasis"/>
    <w:basedOn w:val="a0"/>
    <w:uiPriority w:val="19"/>
    <w:qFormat/>
    <w:rsid w:val="008E5B08"/>
    <w:rPr>
      <w:i/>
      <w:iCs/>
      <w:color w:val="808080" w:themeColor="text1" w:themeTint="7F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8E5B08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8E5B08"/>
    <w:rPr>
      <w:smallCaps/>
      <w:color w:val="297FD5" w:themeColor="accent2"/>
      <w:u w:val="single"/>
    </w:rPr>
  </w:style>
  <w:style w:type="character" w:styleId="af2">
    <w:name w:val="Intense Reference"/>
    <w:basedOn w:val="a0"/>
    <w:uiPriority w:val="32"/>
    <w:qFormat/>
    <w:rsid w:val="008E5B08"/>
    <w:rPr>
      <w:b/>
      <w:bCs/>
      <w:smallCaps/>
      <w:color w:val="297FD5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E5B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E5B08"/>
    <w:pPr>
      <w:outlineLvl w:val="9"/>
    </w:pPr>
  </w:style>
  <w:style w:type="table" w:styleId="af5">
    <w:name w:val="Table Grid"/>
    <w:basedOn w:val="a1"/>
    <w:uiPriority w:val="59"/>
    <w:rsid w:val="009976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229B9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C38B-63A4-423C-BB73-950E800C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cp:lastPrinted>2013-02-26T12:59:00Z</cp:lastPrinted>
  <dcterms:created xsi:type="dcterms:W3CDTF">2013-02-26T12:31:00Z</dcterms:created>
  <dcterms:modified xsi:type="dcterms:W3CDTF">2013-02-26T16:58:00Z</dcterms:modified>
</cp:coreProperties>
</file>