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1B" w:rsidRDefault="003B171B" w:rsidP="003B171B">
      <w:pPr>
        <w:shd w:val="clear" w:color="auto" w:fill="FFFFFF"/>
        <w:suppressAutoHyphens/>
        <w:spacing w:after="120"/>
        <w:ind w:firstLine="708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 организации такого сопровождения необходимо выделить риски и возможные пути их решения в процессе психологического сопровождения</w:t>
      </w:r>
      <w:bookmarkEnd w:id="0"/>
    </w:p>
    <w:p w:rsidR="003B171B" w:rsidRDefault="003B171B" w:rsidP="003B171B">
      <w:pPr>
        <w:shd w:val="clear" w:color="auto" w:fill="FFFFFF"/>
        <w:suppressAutoHyphens/>
        <w:spacing w:after="12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Факторы риска и возможные пути их разрешения</w:t>
      </w: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3402"/>
        <w:gridCol w:w="4820"/>
      </w:tblGrid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B7B5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B7B5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Фактор риска</w:t>
            </w:r>
          </w:p>
        </w:tc>
        <w:tc>
          <w:tcPr>
            <w:tcW w:w="4820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Возможные пути их решения в процессе психологического сопровождения</w:t>
            </w:r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gridSpan w:val="2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 xml:space="preserve">Педагоги </w:t>
            </w:r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Разный уровень готовности учителей школ к изменениям в связи с введением Стандарта.</w:t>
            </w:r>
          </w:p>
        </w:tc>
        <w:tc>
          <w:tcPr>
            <w:tcW w:w="4820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Выявление профессиональных затруднений педагогов. Организация психологических тренингов, семинаров.</w:t>
            </w:r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Недостаточный уровень самообразования учителей</w:t>
            </w:r>
          </w:p>
        </w:tc>
        <w:tc>
          <w:tcPr>
            <w:tcW w:w="4820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Повышение психологической культуры, формирование потребности в психологических знаниях и желания использовать их в собственной деятельности и развитии.</w:t>
            </w:r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 xml:space="preserve">Психологические барьеры: </w:t>
            </w:r>
            <w:proofErr w:type="spellStart"/>
            <w:r w:rsidRPr="00BB7B56">
              <w:rPr>
                <w:sz w:val="28"/>
                <w:szCs w:val="28"/>
                <w:lang w:eastAsia="en-US"/>
              </w:rPr>
              <w:t>антиинновационный</w:t>
            </w:r>
            <w:proofErr w:type="spellEnd"/>
            <w:r w:rsidRPr="00BB7B56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B7B56">
              <w:rPr>
                <w:sz w:val="28"/>
                <w:szCs w:val="28"/>
                <w:lang w:eastAsia="en-US"/>
              </w:rPr>
              <w:t>внутриличностный</w:t>
            </w:r>
            <w:proofErr w:type="spellEnd"/>
            <w:r w:rsidRPr="00BB7B56">
              <w:rPr>
                <w:sz w:val="28"/>
                <w:szCs w:val="28"/>
                <w:lang w:eastAsia="en-US"/>
              </w:rPr>
              <w:t>, барьеры творчества</w:t>
            </w:r>
          </w:p>
        </w:tc>
        <w:tc>
          <w:tcPr>
            <w:tcW w:w="4820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Активизация рефлексивной позиции через психологический анализ посещенных уроков, занятий. Индивидуальные консультации по преодолению психологических барьеров.</w:t>
            </w:r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Психологическая и профессиональная неготовность педагога к реализации требований ФГОС</w:t>
            </w:r>
          </w:p>
        </w:tc>
        <w:tc>
          <w:tcPr>
            <w:tcW w:w="4820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Диагностика психологической готовности педагогов к инновационной деятельности. Поддержка рефлексивно-</w:t>
            </w:r>
            <w:proofErr w:type="spellStart"/>
            <w:r w:rsidRPr="00BB7B56">
              <w:rPr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BB7B56">
              <w:rPr>
                <w:sz w:val="28"/>
                <w:szCs w:val="28"/>
                <w:lang w:eastAsia="en-US"/>
              </w:rPr>
              <w:t xml:space="preserve"> подхода педагогов в экспериментальной деятельности. Помощь в формировании новых установок и принятии собственных решений.</w:t>
            </w:r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gridSpan w:val="2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Администрация ОУ</w:t>
            </w:r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 xml:space="preserve">Недостаточная мотивация педагогов </w:t>
            </w:r>
          </w:p>
        </w:tc>
        <w:tc>
          <w:tcPr>
            <w:tcW w:w="4820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Консультирование администрации по вопросам мотивации педагогов к экспериментальной деятельности</w:t>
            </w:r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 xml:space="preserve">Сложности в организации психологически безопасной среды в образовательном </w:t>
            </w:r>
            <w:r w:rsidRPr="00BB7B56">
              <w:rPr>
                <w:sz w:val="28"/>
                <w:szCs w:val="28"/>
                <w:lang w:eastAsia="en-US"/>
              </w:rPr>
              <w:lastRenderedPageBreak/>
              <w:t>учреждении</w:t>
            </w:r>
          </w:p>
        </w:tc>
        <w:tc>
          <w:tcPr>
            <w:tcW w:w="4820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lastRenderedPageBreak/>
              <w:t xml:space="preserve">Разработка системы социальных, педагогических, психологических мероприятий для создания психологически безопасной, </w:t>
            </w:r>
            <w:r w:rsidRPr="00BB7B56">
              <w:rPr>
                <w:sz w:val="28"/>
                <w:szCs w:val="28"/>
                <w:lang w:eastAsia="en-US"/>
              </w:rPr>
              <w:lastRenderedPageBreak/>
              <w:t xml:space="preserve">развивающей образовательной среды </w:t>
            </w:r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402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Сложности в анализе эффективности инновационной деятельности педагога</w:t>
            </w:r>
          </w:p>
        </w:tc>
        <w:tc>
          <w:tcPr>
            <w:tcW w:w="4820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Разработка мониторинга эффективности оказанного педагогического воздействия</w:t>
            </w:r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Нехватка кадрового обеспечения в ОУ, отсутствие необходимых специалистов (педагога-психолога)</w:t>
            </w:r>
          </w:p>
        </w:tc>
        <w:tc>
          <w:tcPr>
            <w:tcW w:w="4820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Опора на ключевых специалистов, распределение нагрузки и ответственности между разными специалистами.</w:t>
            </w:r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gridSpan w:val="2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 xml:space="preserve">Родители (законные представители) </w:t>
            </w:r>
            <w:proofErr w:type="gramStart"/>
            <w:r w:rsidRPr="00BB7B56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3B171B" w:rsidTr="00A71100">
        <w:tc>
          <w:tcPr>
            <w:tcW w:w="816" w:type="dxa"/>
          </w:tcPr>
          <w:p w:rsidR="003B171B" w:rsidRPr="00BB7B56" w:rsidRDefault="003B171B" w:rsidP="00A71100">
            <w:pPr>
              <w:suppressAutoHyphens/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Негативное отношение родителей к изменениям в связи с введением Стандарта</w:t>
            </w:r>
          </w:p>
        </w:tc>
        <w:tc>
          <w:tcPr>
            <w:tcW w:w="4820" w:type="dxa"/>
          </w:tcPr>
          <w:p w:rsidR="003B171B" w:rsidRPr="00BB7B56" w:rsidRDefault="003B171B" w:rsidP="00A71100">
            <w:pPr>
              <w:suppressAutoHyphens/>
              <w:spacing w:after="120"/>
              <w:rPr>
                <w:sz w:val="28"/>
                <w:szCs w:val="28"/>
                <w:lang w:eastAsia="en-US"/>
              </w:rPr>
            </w:pPr>
            <w:r w:rsidRPr="00BB7B56">
              <w:rPr>
                <w:sz w:val="28"/>
                <w:szCs w:val="28"/>
                <w:lang w:eastAsia="en-US"/>
              </w:rPr>
              <w:t>Привлечение родителей к учебно-воспитательному процессу через активные и совместные виды деятельности. Психологическое просвещение родителей.</w:t>
            </w:r>
          </w:p>
        </w:tc>
      </w:tr>
    </w:tbl>
    <w:p w:rsidR="003B171B" w:rsidRDefault="003B171B" w:rsidP="003B171B">
      <w:pPr>
        <w:keepNext/>
        <w:rPr>
          <w:sz w:val="28"/>
          <w:szCs w:val="28"/>
        </w:rPr>
      </w:pPr>
    </w:p>
    <w:p w:rsidR="006677B8" w:rsidRDefault="006677B8"/>
    <w:sectPr w:rsidR="006677B8" w:rsidSect="0066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1B"/>
    <w:rsid w:val="0009111C"/>
    <w:rsid w:val="003B171B"/>
    <w:rsid w:val="005B315F"/>
    <w:rsid w:val="006677B8"/>
    <w:rsid w:val="00806D51"/>
    <w:rsid w:val="00933EE8"/>
    <w:rsid w:val="00B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солныко</cp:lastModifiedBy>
  <cp:revision>2</cp:revision>
  <dcterms:created xsi:type="dcterms:W3CDTF">2015-04-21T08:02:00Z</dcterms:created>
  <dcterms:modified xsi:type="dcterms:W3CDTF">2015-04-21T08:02:00Z</dcterms:modified>
</cp:coreProperties>
</file>